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4543" w14:textId="7E093E43" w:rsidR="00305B15" w:rsidRPr="008604B0" w:rsidRDefault="00305B15" w:rsidP="00473C25">
      <w:pPr>
        <w:autoSpaceDE w:val="0"/>
        <w:autoSpaceDN w:val="0"/>
        <w:adjustRightInd w:val="0"/>
        <w:spacing w:after="0" w:line="240" w:lineRule="auto"/>
        <w:ind w:left="-810"/>
        <w:rPr>
          <w:rFonts w:ascii="Helvetica" w:hAnsi="Helvetica" w:cs="Arial-BoldMT"/>
          <w:b/>
          <w:color w:val="1F497D" w:themeColor="text2"/>
          <w:sz w:val="28"/>
          <w:szCs w:val="28"/>
        </w:rPr>
      </w:pPr>
      <w:r>
        <w:rPr>
          <w:rFonts w:ascii="Helvetica" w:hAnsi="Helvetica" w:cs="Arial-BoldMT"/>
          <w:b/>
          <w:noProof/>
          <w:sz w:val="28"/>
          <w:szCs w:val="28"/>
        </w:rPr>
        <w:drawing>
          <wp:inline distT="0" distB="0" distL="0" distR="0" wp14:anchorId="6CE8E8C8" wp14:editId="3E373A91">
            <wp:extent cx="664522" cy="506012"/>
            <wp:effectExtent l="0" t="0" r="0" b="0"/>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8"/>
                    <a:stretch>
                      <a:fillRect/>
                    </a:stretch>
                  </pic:blipFill>
                  <pic:spPr>
                    <a:xfrm>
                      <a:off x="0" y="0"/>
                      <a:ext cx="664522" cy="506012"/>
                    </a:xfrm>
                    <a:prstGeom prst="rect">
                      <a:avLst/>
                    </a:prstGeom>
                  </pic:spPr>
                </pic:pic>
              </a:graphicData>
            </a:graphic>
          </wp:inline>
        </w:drawing>
      </w:r>
      <w:r>
        <w:rPr>
          <w:rFonts w:ascii="Helvetica" w:hAnsi="Helvetica" w:cs="Arial-BoldMT"/>
          <w:b/>
          <w:sz w:val="28"/>
          <w:szCs w:val="28"/>
        </w:rPr>
        <w:tab/>
      </w:r>
      <w:r>
        <w:rPr>
          <w:rFonts w:ascii="Helvetica" w:hAnsi="Helvetica" w:cs="Arial-BoldMT"/>
          <w:b/>
          <w:sz w:val="28"/>
          <w:szCs w:val="28"/>
        </w:rPr>
        <w:tab/>
      </w:r>
      <w:r>
        <w:rPr>
          <w:rFonts w:ascii="Helvetica" w:hAnsi="Helvetica" w:cs="Arial-BoldMT"/>
          <w:b/>
          <w:sz w:val="28"/>
          <w:szCs w:val="28"/>
        </w:rPr>
        <w:tab/>
      </w:r>
      <w:r>
        <w:rPr>
          <w:rFonts w:ascii="Helvetica" w:hAnsi="Helvetica" w:cs="Arial-BoldMT"/>
          <w:b/>
          <w:sz w:val="28"/>
          <w:szCs w:val="28"/>
        </w:rPr>
        <w:tab/>
      </w:r>
      <w:r>
        <w:rPr>
          <w:rFonts w:ascii="Helvetica" w:hAnsi="Helvetica" w:cs="Arial-BoldMT"/>
          <w:b/>
          <w:sz w:val="28"/>
          <w:szCs w:val="28"/>
        </w:rPr>
        <w:tab/>
      </w:r>
      <w:r>
        <w:rPr>
          <w:rFonts w:ascii="Helvetica" w:hAnsi="Helvetica" w:cs="Arial-BoldMT"/>
          <w:b/>
          <w:sz w:val="28"/>
          <w:szCs w:val="28"/>
        </w:rPr>
        <w:tab/>
      </w:r>
      <w:r>
        <w:rPr>
          <w:rFonts w:ascii="Helvetica" w:hAnsi="Helvetica" w:cs="Arial-BoldMT"/>
          <w:b/>
          <w:sz w:val="28"/>
          <w:szCs w:val="28"/>
        </w:rPr>
        <w:tab/>
      </w:r>
      <w:r w:rsidR="00B070A4" w:rsidRPr="008604B0">
        <w:rPr>
          <w:rFonts w:ascii="Helvetica" w:hAnsi="Helvetica" w:cs="Arial-BoldMT"/>
          <w:b/>
          <w:color w:val="1F497D" w:themeColor="text2"/>
          <w:sz w:val="28"/>
          <w:szCs w:val="28"/>
        </w:rPr>
        <w:t>DOCUMENT D’INFORMATIONS CLES</w:t>
      </w:r>
    </w:p>
    <w:p w14:paraId="47DB0DCE" w14:textId="77777777" w:rsidR="0055556F" w:rsidRPr="008604B0" w:rsidRDefault="0055556F" w:rsidP="00473C25">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p>
    <w:p w14:paraId="5E766D30" w14:textId="7327B1B2" w:rsidR="003C66FC" w:rsidRDefault="00B070A4" w:rsidP="00473C25">
      <w:pPr>
        <w:pBdr>
          <w:bottom w:val="single" w:sz="12" w:space="1" w:color="auto"/>
        </w:pBdr>
        <w:tabs>
          <w:tab w:val="left" w:pos="9428"/>
        </w:tabs>
        <w:autoSpaceDE w:val="0"/>
        <w:autoSpaceDN w:val="0"/>
        <w:adjustRightInd w:val="0"/>
        <w:spacing w:after="0" w:line="240" w:lineRule="auto"/>
        <w:ind w:left="-810"/>
        <w:jc w:val="both"/>
        <w:rPr>
          <w:rFonts w:ascii="Helvetica" w:hAnsi="Helvetica" w:cs="Helvetica"/>
          <w:sz w:val="16"/>
          <w:szCs w:val="16"/>
        </w:rPr>
      </w:pPr>
      <w:r w:rsidRPr="008604B0">
        <w:rPr>
          <w:rFonts w:ascii="Helvetica" w:hAnsi="Helvetica" w:cs="Arial-BoldMT"/>
          <w:b/>
          <w:color w:val="1F497D" w:themeColor="text2"/>
          <w:sz w:val="18"/>
          <w:szCs w:val="18"/>
        </w:rPr>
        <w:t>Objectif</w:t>
      </w:r>
    </w:p>
    <w:p w14:paraId="64F0268D" w14:textId="3DC96B57" w:rsidR="00D94019" w:rsidRPr="00FB670F" w:rsidRDefault="00D94019"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Helvetica"/>
          <w:sz w:val="16"/>
          <w:szCs w:val="16"/>
        </w:rPr>
        <w:t xml:space="preserve">Le présent document contient des informations essentielles sur le produit d'investissement. Il ne s'agit pas d'un document à caractère commercial. Ces informations vous sont </w:t>
      </w:r>
      <w:r w:rsidRPr="00FB670F">
        <w:rPr>
          <w:rFonts w:ascii="Helvetica" w:hAnsi="Helvetica" w:cs="Helvetica"/>
          <w:color w:val="262525"/>
          <w:sz w:val="16"/>
          <w:szCs w:val="16"/>
        </w:rPr>
        <w:t>fournies</w:t>
      </w:r>
      <w:r w:rsidRPr="00FB670F">
        <w:rPr>
          <w:rFonts w:ascii="Helvetica" w:hAnsi="Helvetica" w:cs="Helvetica"/>
          <w:color w:val="262525"/>
          <w:spacing w:val="40"/>
          <w:sz w:val="16"/>
          <w:szCs w:val="16"/>
        </w:rPr>
        <w:t xml:space="preserve"> </w:t>
      </w:r>
      <w:r w:rsidRPr="00FB670F">
        <w:rPr>
          <w:rFonts w:ascii="Helvetica" w:hAnsi="Helvetica" w:cs="Helvetica"/>
          <w:color w:val="262525"/>
          <w:spacing w:val="-4"/>
          <w:sz w:val="16"/>
          <w:szCs w:val="16"/>
        </w:rPr>
        <w:t>conformément à une obligation légale, afin de vous aider à comprendre en quoi consiste ce produit et quels risques,</w:t>
      </w:r>
      <w:r w:rsidRPr="00FB670F">
        <w:rPr>
          <w:rFonts w:ascii="Helvetica" w:hAnsi="Helvetica" w:cs="Helvetica"/>
          <w:color w:val="262525"/>
          <w:spacing w:val="-1"/>
          <w:sz w:val="16"/>
          <w:szCs w:val="16"/>
        </w:rPr>
        <w:t xml:space="preserve"> </w:t>
      </w:r>
      <w:r w:rsidRPr="00FB670F">
        <w:rPr>
          <w:rFonts w:ascii="Helvetica" w:hAnsi="Helvetica" w:cs="Helvetica"/>
          <w:color w:val="262525"/>
          <w:spacing w:val="-4"/>
          <w:sz w:val="16"/>
          <w:szCs w:val="16"/>
        </w:rPr>
        <w:t>coûts, gains et pertes potentiels y sont associés,</w:t>
      </w:r>
      <w:r w:rsidRPr="00FB670F">
        <w:rPr>
          <w:rFonts w:ascii="Helvetica" w:hAnsi="Helvetica" w:cs="Helvetica"/>
          <w:color w:val="262525"/>
          <w:spacing w:val="-1"/>
          <w:sz w:val="16"/>
          <w:szCs w:val="16"/>
        </w:rPr>
        <w:t xml:space="preserve"> </w:t>
      </w:r>
      <w:r w:rsidRPr="00FB670F">
        <w:rPr>
          <w:rFonts w:ascii="Helvetica" w:hAnsi="Helvetica" w:cs="Helvetica"/>
          <w:color w:val="262525"/>
          <w:spacing w:val="-4"/>
          <w:sz w:val="16"/>
          <w:szCs w:val="16"/>
        </w:rPr>
        <w:t>et de vous aider à le comparer à</w:t>
      </w:r>
      <w:r w:rsidRPr="00FB670F">
        <w:rPr>
          <w:rFonts w:ascii="Helvetica" w:hAnsi="Helvetica" w:cs="Helvetica"/>
          <w:color w:val="262525"/>
          <w:spacing w:val="40"/>
          <w:sz w:val="16"/>
          <w:szCs w:val="16"/>
        </w:rPr>
        <w:t xml:space="preserve"> </w:t>
      </w:r>
      <w:bookmarkStart w:id="0" w:name="Produit"/>
      <w:bookmarkEnd w:id="0"/>
      <w:r w:rsidRPr="00FB670F">
        <w:rPr>
          <w:rFonts w:ascii="Helvetica" w:hAnsi="Helvetica" w:cs="Helvetica"/>
          <w:color w:val="262525"/>
          <w:sz w:val="16"/>
          <w:szCs w:val="16"/>
        </w:rPr>
        <w:t>d'autres</w:t>
      </w:r>
      <w:r w:rsidRPr="00FB670F">
        <w:rPr>
          <w:rFonts w:ascii="Helvetica" w:hAnsi="Helvetica" w:cs="Helvetica"/>
          <w:color w:val="262525"/>
          <w:spacing w:val="-10"/>
          <w:sz w:val="16"/>
          <w:szCs w:val="16"/>
        </w:rPr>
        <w:t xml:space="preserve"> </w:t>
      </w:r>
      <w:r w:rsidRPr="00FB670F">
        <w:rPr>
          <w:rFonts w:ascii="Helvetica" w:hAnsi="Helvetica" w:cs="Helvetica"/>
          <w:color w:val="262525"/>
          <w:sz w:val="16"/>
          <w:szCs w:val="16"/>
        </w:rPr>
        <w:t>produits</w:t>
      </w:r>
    </w:p>
    <w:p w14:paraId="6DA61E89" w14:textId="57CA27C8" w:rsidR="00D94019" w:rsidRDefault="00D94019" w:rsidP="00473C25">
      <w:pPr>
        <w:autoSpaceDE w:val="0"/>
        <w:autoSpaceDN w:val="0"/>
        <w:adjustRightInd w:val="0"/>
        <w:spacing w:after="0" w:line="240" w:lineRule="auto"/>
        <w:ind w:left="-810"/>
        <w:jc w:val="both"/>
        <w:rPr>
          <w:rFonts w:ascii="Helvetica" w:hAnsi="Helvetica" w:cs="Arial-BoldMT"/>
          <w:bCs/>
          <w:sz w:val="16"/>
          <w:szCs w:val="16"/>
        </w:rPr>
      </w:pPr>
    </w:p>
    <w:p w14:paraId="6C0B7807" w14:textId="601B16C4" w:rsidR="00D94019" w:rsidRPr="008604B0" w:rsidRDefault="00B070A4" w:rsidP="00473C25">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Produit</w:t>
      </w:r>
    </w:p>
    <w:p w14:paraId="387E0043" w14:textId="77777777" w:rsidR="009970D2" w:rsidRPr="005769A6" w:rsidRDefault="009970D2" w:rsidP="00473C25">
      <w:pPr>
        <w:autoSpaceDE w:val="0"/>
        <w:autoSpaceDN w:val="0"/>
        <w:adjustRightInd w:val="0"/>
        <w:spacing w:after="0" w:line="240" w:lineRule="auto"/>
        <w:ind w:left="-810"/>
        <w:jc w:val="both"/>
        <w:rPr>
          <w:rFonts w:ascii="Helvetica" w:hAnsi="Helvetica" w:cs="Arial"/>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0"/>
      </w:tblGrid>
      <w:tr w:rsidR="009970D2" w:rsidRPr="009970D2" w14:paraId="74200AA7" w14:textId="77777777" w:rsidTr="00305B15">
        <w:trPr>
          <w:trHeight w:val="771"/>
        </w:trPr>
        <w:tc>
          <w:tcPr>
            <w:tcW w:w="11340" w:type="dxa"/>
            <w:shd w:val="clear" w:color="auto" w:fill="F2F2F2" w:themeFill="background1" w:themeFillShade="F2"/>
            <w:vAlign w:val="center"/>
          </w:tcPr>
          <w:p w14:paraId="54DCEDD8" w14:textId="785ED717" w:rsidR="00B4745B" w:rsidRPr="009323E6" w:rsidRDefault="00B4745B" w:rsidP="00473C25">
            <w:pPr>
              <w:autoSpaceDE w:val="0"/>
              <w:autoSpaceDN w:val="0"/>
              <w:adjustRightInd w:val="0"/>
              <w:ind w:left="-810"/>
              <w:jc w:val="center"/>
              <w:rPr>
                <w:rFonts w:ascii="Helvetica" w:hAnsi="Helvetica" w:cs="Arial"/>
                <w:b/>
                <w:bCs/>
                <w:sz w:val="24"/>
                <w:szCs w:val="24"/>
                <w:lang w:val="en-US"/>
              </w:rPr>
            </w:pPr>
            <w:r w:rsidRPr="009323E6">
              <w:rPr>
                <w:rFonts w:ascii="Helvetica" w:hAnsi="Helvetica" w:cs="Arial"/>
                <w:b/>
                <w:bCs/>
                <w:sz w:val="24"/>
                <w:szCs w:val="24"/>
                <w:lang w:val="en-US"/>
              </w:rPr>
              <w:t>DISRUPTION FUND</w:t>
            </w:r>
            <w:r w:rsidR="00CF7952" w:rsidRPr="009323E6">
              <w:rPr>
                <w:rFonts w:ascii="Helvetica" w:hAnsi="Helvetica" w:cs="Arial"/>
                <w:b/>
                <w:bCs/>
                <w:sz w:val="24"/>
                <w:szCs w:val="24"/>
                <w:lang w:val="en-US"/>
              </w:rPr>
              <w:t xml:space="preserve"> </w:t>
            </w:r>
            <w:r w:rsidR="00037DDC" w:rsidRPr="009323E6">
              <w:rPr>
                <w:rFonts w:ascii="Helvetica" w:hAnsi="Helvetica" w:cs="Arial"/>
                <w:b/>
                <w:bCs/>
                <w:sz w:val="24"/>
                <w:szCs w:val="24"/>
                <w:lang w:val="en-US"/>
              </w:rPr>
              <w:t>ALPHA</w:t>
            </w:r>
          </w:p>
          <w:p w14:paraId="3A9D59B3" w14:textId="44FF156A" w:rsidR="009970D2" w:rsidRPr="009323E6" w:rsidRDefault="000D4AD7" w:rsidP="00473C25">
            <w:pPr>
              <w:autoSpaceDE w:val="0"/>
              <w:autoSpaceDN w:val="0"/>
              <w:adjustRightInd w:val="0"/>
              <w:ind w:left="-810"/>
              <w:jc w:val="center"/>
              <w:rPr>
                <w:rFonts w:ascii="Helvetica" w:hAnsi="Helvetica" w:cs="Arial"/>
                <w:b/>
                <w:bCs/>
                <w:sz w:val="18"/>
                <w:szCs w:val="18"/>
                <w:lang w:val="en-US"/>
              </w:rPr>
            </w:pPr>
            <w:r w:rsidRPr="009323E6">
              <w:rPr>
                <w:rFonts w:ascii="Helvetica" w:hAnsi="Helvetica" w:cs="Arial"/>
                <w:b/>
                <w:bCs/>
                <w:sz w:val="18"/>
                <w:szCs w:val="18"/>
                <w:lang w:val="en-US"/>
              </w:rPr>
              <w:t xml:space="preserve">Part </w:t>
            </w:r>
            <w:r w:rsidR="009E3AD9" w:rsidRPr="009323E6">
              <w:rPr>
                <w:rFonts w:ascii="Helvetica" w:hAnsi="Helvetica" w:cs="Arial"/>
                <w:b/>
                <w:bCs/>
                <w:sz w:val="18"/>
                <w:szCs w:val="18"/>
                <w:lang w:val="en-US"/>
              </w:rPr>
              <w:t>C</w:t>
            </w:r>
            <w:r w:rsidRPr="009323E6">
              <w:rPr>
                <w:rFonts w:ascii="Helvetica" w:hAnsi="Helvetica" w:cs="Arial"/>
                <w:b/>
                <w:bCs/>
                <w:sz w:val="18"/>
                <w:szCs w:val="18"/>
                <w:lang w:val="en-US"/>
              </w:rPr>
              <w:t xml:space="preserve"> (</w:t>
            </w:r>
            <w:r w:rsidR="009970D2" w:rsidRPr="009323E6">
              <w:rPr>
                <w:rFonts w:ascii="Helvetica" w:hAnsi="Helvetica" w:cs="Arial"/>
                <w:b/>
                <w:bCs/>
                <w:sz w:val="18"/>
                <w:szCs w:val="18"/>
                <w:lang w:val="en-US"/>
              </w:rPr>
              <w:t xml:space="preserve">ISIN : </w:t>
            </w:r>
            <w:r w:rsidR="009E3AD9" w:rsidRPr="009323E6">
              <w:rPr>
                <w:rFonts w:ascii="Helvetica" w:hAnsi="Helvetica" w:cs="Arial"/>
                <w:b/>
                <w:bCs/>
                <w:sz w:val="18"/>
                <w:szCs w:val="18"/>
                <w:lang w:val="en-US"/>
              </w:rPr>
              <w:t>FR0014000U71</w:t>
            </w:r>
            <w:r w:rsidR="006E3409" w:rsidRPr="009323E6">
              <w:rPr>
                <w:rFonts w:ascii="Helvetica" w:hAnsi="Helvetica" w:cs="Arial"/>
                <w:b/>
                <w:bCs/>
                <w:sz w:val="18"/>
                <w:szCs w:val="18"/>
                <w:lang w:val="en-US"/>
              </w:rPr>
              <w:t>)</w:t>
            </w:r>
          </w:p>
          <w:p w14:paraId="418706E3" w14:textId="77777777" w:rsidR="009970D2" w:rsidRPr="009970D2" w:rsidRDefault="00773906" w:rsidP="00473C25">
            <w:pPr>
              <w:autoSpaceDE w:val="0"/>
              <w:autoSpaceDN w:val="0"/>
              <w:adjustRightInd w:val="0"/>
              <w:ind w:left="-810"/>
              <w:jc w:val="center"/>
              <w:rPr>
                <w:rFonts w:ascii="Helvetica" w:hAnsi="Helvetica" w:cs="Arial"/>
                <w:bCs/>
                <w:sz w:val="20"/>
                <w:szCs w:val="20"/>
              </w:rPr>
            </w:pPr>
            <w:r w:rsidRPr="00412DDB">
              <w:rPr>
                <w:rFonts w:ascii="Helvetica" w:hAnsi="Helvetica" w:cs="Arial"/>
                <w:bCs/>
                <w:sz w:val="18"/>
                <w:szCs w:val="18"/>
              </w:rPr>
              <w:t>Ce</w:t>
            </w:r>
            <w:r w:rsidR="00F3638C" w:rsidRPr="00412DDB">
              <w:rPr>
                <w:rFonts w:ascii="Helvetica" w:hAnsi="Helvetica" w:cs="Arial"/>
                <w:bCs/>
                <w:sz w:val="18"/>
                <w:szCs w:val="18"/>
              </w:rPr>
              <w:t>t OPCVM</w:t>
            </w:r>
            <w:r w:rsidRPr="00412DDB">
              <w:rPr>
                <w:rFonts w:ascii="Helvetica" w:hAnsi="Helvetica" w:cs="Arial"/>
                <w:bCs/>
                <w:sz w:val="18"/>
                <w:szCs w:val="18"/>
              </w:rPr>
              <w:t xml:space="preserve"> est géré </w:t>
            </w:r>
            <w:r w:rsidR="009970D2" w:rsidRPr="00412DDB">
              <w:rPr>
                <w:rFonts w:ascii="Helvetica" w:hAnsi="Helvetica" w:cs="Arial"/>
                <w:bCs/>
                <w:sz w:val="18"/>
                <w:szCs w:val="18"/>
              </w:rPr>
              <w:t>par QUADRILLE CAPITAL</w:t>
            </w:r>
          </w:p>
        </w:tc>
      </w:tr>
    </w:tbl>
    <w:p w14:paraId="79595BBA" w14:textId="22A56321" w:rsidR="003A017D" w:rsidRPr="003A017D" w:rsidRDefault="003A017D"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Arial-BoldMT"/>
          <w:b/>
          <w:color w:val="1F497D" w:themeColor="text2"/>
          <w:sz w:val="16"/>
          <w:szCs w:val="16"/>
        </w:rPr>
        <w:t>Nom de l’initiateur :</w:t>
      </w:r>
      <w:r w:rsidRPr="003A017D">
        <w:rPr>
          <w:rFonts w:ascii="Helvetica" w:hAnsi="Helvetica" w:cs="Arial-BoldMT"/>
          <w:bCs/>
          <w:sz w:val="16"/>
          <w:szCs w:val="16"/>
        </w:rPr>
        <w:t xml:space="preserve"> Quadrille Capital</w:t>
      </w:r>
    </w:p>
    <w:p w14:paraId="2127B357" w14:textId="0EF6124A" w:rsidR="003A017D" w:rsidRPr="003A017D" w:rsidRDefault="003A017D"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Arial-BoldMT"/>
          <w:b/>
          <w:color w:val="1F497D" w:themeColor="text2"/>
          <w:sz w:val="16"/>
          <w:szCs w:val="16"/>
        </w:rPr>
        <w:t>Devise du produit :</w:t>
      </w:r>
      <w:r w:rsidRPr="008604B0">
        <w:rPr>
          <w:rFonts w:ascii="Helvetica" w:hAnsi="Helvetica" w:cs="Arial-BoldMT"/>
          <w:bCs/>
          <w:color w:val="1F497D" w:themeColor="text2"/>
          <w:sz w:val="16"/>
          <w:szCs w:val="16"/>
        </w:rPr>
        <w:t xml:space="preserve"> </w:t>
      </w:r>
      <w:r w:rsidRPr="003A017D">
        <w:rPr>
          <w:rFonts w:ascii="Helvetica" w:hAnsi="Helvetica" w:cs="Arial-BoldMT"/>
          <w:bCs/>
          <w:sz w:val="16"/>
          <w:szCs w:val="16"/>
        </w:rPr>
        <w:t>Euro</w:t>
      </w:r>
    </w:p>
    <w:p w14:paraId="0B17E594" w14:textId="5845E19C" w:rsidR="003A017D" w:rsidRPr="003A017D" w:rsidRDefault="003A017D"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Arial-BoldMT"/>
          <w:b/>
          <w:color w:val="1F497D" w:themeColor="text2"/>
          <w:sz w:val="16"/>
          <w:szCs w:val="16"/>
        </w:rPr>
        <w:t>Site internet :</w:t>
      </w:r>
      <w:r w:rsidRPr="008604B0">
        <w:rPr>
          <w:rFonts w:ascii="Helvetica" w:hAnsi="Helvetica" w:cs="Arial-BoldMT"/>
          <w:bCs/>
          <w:color w:val="1F497D" w:themeColor="text2"/>
          <w:sz w:val="16"/>
          <w:szCs w:val="16"/>
        </w:rPr>
        <w:t xml:space="preserve"> </w:t>
      </w:r>
      <w:r w:rsidRPr="003A017D">
        <w:rPr>
          <w:rFonts w:ascii="Helvetica" w:hAnsi="Helvetica" w:cs="Arial-BoldMT"/>
          <w:bCs/>
          <w:sz w:val="16"/>
          <w:szCs w:val="16"/>
        </w:rPr>
        <w:t>www.quadrillecapital.com</w:t>
      </w:r>
    </w:p>
    <w:p w14:paraId="2ECF117E" w14:textId="6FBD38DE" w:rsidR="003A017D" w:rsidRPr="003A017D" w:rsidRDefault="003A017D"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Arial-BoldMT"/>
          <w:b/>
          <w:color w:val="1F497D" w:themeColor="text2"/>
          <w:sz w:val="16"/>
          <w:szCs w:val="16"/>
        </w:rPr>
        <w:t>Contact :</w:t>
      </w:r>
      <w:r w:rsidRPr="003A017D">
        <w:rPr>
          <w:rFonts w:ascii="Helvetica" w:hAnsi="Helvetica" w:cs="Arial-BoldMT"/>
          <w:bCs/>
          <w:sz w:val="16"/>
          <w:szCs w:val="16"/>
        </w:rPr>
        <w:t xml:space="preserve"> pour plus d’informations, nous vous invitons à appeler le +33 (1) 79 74 23 40</w:t>
      </w:r>
    </w:p>
    <w:p w14:paraId="77963171" w14:textId="75268073" w:rsidR="003A017D" w:rsidRPr="003A017D" w:rsidRDefault="003A017D"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Arial-BoldMT"/>
          <w:b/>
          <w:color w:val="1F497D" w:themeColor="text2"/>
          <w:sz w:val="16"/>
          <w:szCs w:val="16"/>
        </w:rPr>
        <w:t>Autorité compétente de l’initiateur du PRIIPS :</w:t>
      </w:r>
      <w:r w:rsidRPr="003A017D">
        <w:rPr>
          <w:rFonts w:ascii="Helvetica" w:hAnsi="Helvetica" w:cs="Arial-BoldMT"/>
          <w:bCs/>
          <w:sz w:val="16"/>
          <w:szCs w:val="16"/>
        </w:rPr>
        <w:t xml:space="preserve"> L'Autorité des Marchés Financiers (AMF) est chargée du contrôle de Quadrille Capital en ce qui concerne ce document d'information clés. Quadrille Capital est agréée en France et réglementée par l'Autorité des marchés financiers.</w:t>
      </w:r>
    </w:p>
    <w:p w14:paraId="57267AE6" w14:textId="3E743EBD" w:rsidR="003A017D" w:rsidRPr="003A017D" w:rsidRDefault="003A017D" w:rsidP="00473C25">
      <w:pPr>
        <w:autoSpaceDE w:val="0"/>
        <w:autoSpaceDN w:val="0"/>
        <w:adjustRightInd w:val="0"/>
        <w:spacing w:after="0" w:line="240" w:lineRule="auto"/>
        <w:ind w:left="-810"/>
        <w:jc w:val="both"/>
        <w:rPr>
          <w:rFonts w:ascii="Helvetica" w:hAnsi="Helvetica" w:cs="Arial-BoldMT"/>
          <w:bCs/>
          <w:sz w:val="16"/>
          <w:szCs w:val="16"/>
        </w:rPr>
      </w:pPr>
      <w:r w:rsidRPr="008604B0">
        <w:rPr>
          <w:rFonts w:ascii="Helvetica" w:hAnsi="Helvetica" w:cs="Arial-BoldMT"/>
          <w:b/>
          <w:color w:val="1F497D" w:themeColor="text2"/>
          <w:sz w:val="16"/>
          <w:szCs w:val="16"/>
        </w:rPr>
        <w:t xml:space="preserve">Date de production: </w:t>
      </w:r>
      <w:r>
        <w:rPr>
          <w:rFonts w:ascii="Helvetica" w:hAnsi="Helvetica" w:cs="Arial-BoldMT"/>
          <w:bCs/>
          <w:sz w:val="16"/>
          <w:szCs w:val="16"/>
        </w:rPr>
        <w:t>1</w:t>
      </w:r>
      <w:r w:rsidR="001D4553">
        <w:rPr>
          <w:rFonts w:ascii="Helvetica" w:hAnsi="Helvetica" w:cs="Arial-BoldMT"/>
          <w:bCs/>
          <w:sz w:val="16"/>
          <w:szCs w:val="16"/>
        </w:rPr>
        <w:t>5</w:t>
      </w:r>
      <w:r>
        <w:rPr>
          <w:rFonts w:ascii="Helvetica" w:hAnsi="Helvetica" w:cs="Arial-BoldMT"/>
          <w:bCs/>
          <w:sz w:val="16"/>
          <w:szCs w:val="16"/>
        </w:rPr>
        <w:t>/0</w:t>
      </w:r>
      <w:r w:rsidR="001D4553">
        <w:rPr>
          <w:rFonts w:ascii="Helvetica" w:hAnsi="Helvetica" w:cs="Arial-BoldMT"/>
          <w:bCs/>
          <w:sz w:val="16"/>
          <w:szCs w:val="16"/>
        </w:rPr>
        <w:t>3</w:t>
      </w:r>
      <w:r>
        <w:rPr>
          <w:rFonts w:ascii="Helvetica" w:hAnsi="Helvetica" w:cs="Arial-BoldMT"/>
          <w:bCs/>
          <w:sz w:val="16"/>
          <w:szCs w:val="16"/>
        </w:rPr>
        <w:t>/202</w:t>
      </w:r>
      <w:r w:rsidR="001D4553">
        <w:rPr>
          <w:rFonts w:ascii="Helvetica" w:hAnsi="Helvetica" w:cs="Arial-BoldMT"/>
          <w:bCs/>
          <w:sz w:val="16"/>
          <w:szCs w:val="16"/>
        </w:rPr>
        <w:t>4</w:t>
      </w:r>
    </w:p>
    <w:p w14:paraId="321FB7B8" w14:textId="77777777" w:rsidR="0095405E" w:rsidRPr="00F20E9D" w:rsidRDefault="0095405E" w:rsidP="00473C25">
      <w:pPr>
        <w:autoSpaceDE w:val="0"/>
        <w:autoSpaceDN w:val="0"/>
        <w:adjustRightInd w:val="0"/>
        <w:spacing w:after="0" w:line="240" w:lineRule="auto"/>
        <w:ind w:left="-810"/>
        <w:jc w:val="both"/>
        <w:rPr>
          <w:rFonts w:ascii="Helvetica" w:hAnsi="Helvetica" w:cs="ArialMT"/>
          <w:sz w:val="16"/>
          <w:szCs w:val="16"/>
        </w:rPr>
      </w:pPr>
    </w:p>
    <w:p w14:paraId="05D7EBBC" w14:textId="2CCE8ADA" w:rsidR="0095405E" w:rsidRPr="008604B0" w:rsidRDefault="0095405E" w:rsidP="00473C25">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En quoi consiste ce produit ?</w:t>
      </w:r>
    </w:p>
    <w:p w14:paraId="477B2F43" w14:textId="77777777" w:rsidR="0095405E" w:rsidRPr="00A71DAE" w:rsidRDefault="0095405E" w:rsidP="00473C25">
      <w:pPr>
        <w:autoSpaceDE w:val="0"/>
        <w:autoSpaceDN w:val="0"/>
        <w:adjustRightInd w:val="0"/>
        <w:spacing w:after="0" w:line="240" w:lineRule="auto"/>
        <w:ind w:left="-810"/>
        <w:jc w:val="both"/>
        <w:rPr>
          <w:rFonts w:ascii="Helvetica" w:hAnsi="Helvetica" w:cs="ArialMT"/>
          <w:sz w:val="12"/>
          <w:szCs w:val="12"/>
        </w:rPr>
      </w:pPr>
    </w:p>
    <w:p w14:paraId="611FD40E" w14:textId="77777777" w:rsidR="00523115" w:rsidRDefault="00523115" w:rsidP="00473C25">
      <w:pPr>
        <w:autoSpaceDE w:val="0"/>
        <w:autoSpaceDN w:val="0"/>
        <w:adjustRightInd w:val="0"/>
        <w:spacing w:after="0" w:line="240" w:lineRule="auto"/>
        <w:ind w:left="-810"/>
        <w:jc w:val="both"/>
        <w:rPr>
          <w:rFonts w:ascii="Helvetica" w:hAnsi="Helvetica" w:cs="Arial-BoldMT"/>
          <w:b/>
          <w:color w:val="1F497D" w:themeColor="text2"/>
          <w:sz w:val="16"/>
          <w:szCs w:val="16"/>
        </w:rPr>
        <w:sectPr w:rsidR="00523115" w:rsidSect="00DC20FD">
          <w:footerReference w:type="default" r:id="rId9"/>
          <w:footerReference w:type="first" r:id="rId10"/>
          <w:type w:val="continuous"/>
          <w:pgSz w:w="11905" w:h="16837"/>
          <w:pgMar w:top="951" w:right="205" w:bottom="709" w:left="1080" w:header="403" w:footer="403" w:gutter="0"/>
          <w:cols w:space="720"/>
          <w:noEndnote/>
          <w:titlePg/>
          <w:docGrid w:linePitch="299"/>
        </w:sectPr>
      </w:pPr>
    </w:p>
    <w:p w14:paraId="2F875EA7" w14:textId="3F0FEDBA" w:rsidR="00473C25" w:rsidRDefault="00473C25" w:rsidP="00124EBC">
      <w:pPr>
        <w:autoSpaceDE w:val="0"/>
        <w:autoSpaceDN w:val="0"/>
        <w:adjustRightInd w:val="0"/>
        <w:spacing w:after="0" w:line="240" w:lineRule="auto"/>
        <w:ind w:left="-810" w:right="360"/>
        <w:jc w:val="both"/>
        <w:rPr>
          <w:rFonts w:ascii="Helvetica" w:hAnsi="Helvetica" w:cs="Arial-BoldMT"/>
          <w:bCs/>
          <w:sz w:val="16"/>
          <w:szCs w:val="16"/>
        </w:rPr>
      </w:pPr>
      <w:r w:rsidRPr="00F82DA6">
        <w:rPr>
          <w:rFonts w:ascii="Helvetica" w:hAnsi="Helvetica" w:cs="Arial-BoldMT"/>
          <w:b/>
          <w:color w:val="1F497D" w:themeColor="text2"/>
          <w:sz w:val="16"/>
          <w:szCs w:val="16"/>
        </w:rPr>
        <w:t>Type :</w:t>
      </w:r>
      <w:r w:rsidRPr="00F82DA6">
        <w:rPr>
          <w:rFonts w:ascii="Helvetica" w:hAnsi="Helvetica" w:cs="Arial-BoldMT"/>
          <w:bCs/>
          <w:sz w:val="16"/>
          <w:szCs w:val="16"/>
        </w:rPr>
        <w:t xml:space="preserve"> Disruption Fund Alpha (ici, « l’OPCVM » ou "le FCP" ou « l’OPC ») est un Fonds Commun de Placement de droit français. Le FCP n'ayant pas la personnalité morale, il n’est pas assujetti à l'impôt sur les sociétés. Chaque porteur est imposé comme s'il était directement propriétaire d'une quotité de l'actif, en fonction du régime fiscal qui lui est applicable</w:t>
      </w:r>
      <w:r>
        <w:rPr>
          <w:rFonts w:ascii="Helvetica" w:hAnsi="Helvetica" w:cs="Arial-BoldMT"/>
          <w:bCs/>
          <w:sz w:val="16"/>
          <w:szCs w:val="16"/>
        </w:rPr>
        <w:t xml:space="preserve">. </w:t>
      </w:r>
    </w:p>
    <w:p w14:paraId="7746E888" w14:textId="77777777" w:rsidR="00473C25" w:rsidRPr="00F82DA6" w:rsidRDefault="00473C25" w:rsidP="00124EBC">
      <w:pPr>
        <w:autoSpaceDE w:val="0"/>
        <w:autoSpaceDN w:val="0"/>
        <w:adjustRightInd w:val="0"/>
        <w:spacing w:after="0" w:line="240" w:lineRule="auto"/>
        <w:ind w:left="-810" w:right="360"/>
        <w:jc w:val="both"/>
        <w:rPr>
          <w:rFonts w:ascii="Helvetica" w:hAnsi="Helvetica" w:cs="Arial-BoldMT"/>
          <w:bCs/>
          <w:sz w:val="16"/>
          <w:szCs w:val="16"/>
        </w:rPr>
      </w:pPr>
      <w:r>
        <w:rPr>
          <w:rFonts w:ascii="Helvetica" w:hAnsi="Helvetica" w:cs="Arial-BoldMT"/>
          <w:bCs/>
          <w:sz w:val="16"/>
          <w:szCs w:val="16"/>
        </w:rPr>
        <w:t>L’OPC est un FCP nourricier du Fonds Disruption Fund Master (le « Fonds Maître ».</w:t>
      </w:r>
    </w:p>
    <w:p w14:paraId="7653AEA0"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sz w:val="16"/>
          <w:szCs w:val="16"/>
        </w:rPr>
      </w:pPr>
      <w:r w:rsidRPr="00F4773E">
        <w:rPr>
          <w:rFonts w:ascii="Helvetica" w:hAnsi="Helvetica" w:cs="Arial-BoldMT"/>
          <w:b/>
          <w:color w:val="1F497D" w:themeColor="text2"/>
          <w:sz w:val="16"/>
          <w:szCs w:val="16"/>
        </w:rPr>
        <w:t>Durée :</w:t>
      </w:r>
      <w:r w:rsidRPr="00F4773E">
        <w:rPr>
          <w:rFonts w:ascii="Helvetica" w:hAnsi="Helvetica" w:cs="Arial-BoldMT"/>
          <w:bCs/>
          <w:sz w:val="16"/>
          <w:szCs w:val="16"/>
        </w:rPr>
        <w:t xml:space="preserve"> L'OPC a été créé le 10 juillet 2015 et sa durée d'existence prévue est de 99 ans.</w:t>
      </w:r>
    </w:p>
    <w:p w14:paraId="035F2ED5" w14:textId="77777777" w:rsidR="00473C25" w:rsidRDefault="00473C25" w:rsidP="00124EBC">
      <w:pPr>
        <w:autoSpaceDE w:val="0"/>
        <w:autoSpaceDN w:val="0"/>
        <w:adjustRightInd w:val="0"/>
        <w:spacing w:after="0" w:line="240" w:lineRule="auto"/>
        <w:ind w:left="-810" w:right="360"/>
        <w:jc w:val="both"/>
        <w:rPr>
          <w:rFonts w:ascii="Helvetica" w:hAnsi="Helvetica" w:cs="Arial-BoldMT"/>
          <w:bCs/>
          <w:sz w:val="16"/>
          <w:szCs w:val="16"/>
        </w:rPr>
      </w:pPr>
      <w:r w:rsidRPr="00F4773E">
        <w:rPr>
          <w:rFonts w:ascii="Helvetica" w:hAnsi="Helvetica" w:cs="Arial-BoldMT"/>
          <w:b/>
          <w:color w:val="1F497D" w:themeColor="text2"/>
          <w:sz w:val="16"/>
          <w:szCs w:val="16"/>
        </w:rPr>
        <w:t>Objectifs :</w:t>
      </w:r>
      <w:r w:rsidRPr="00F4773E">
        <w:rPr>
          <w:rFonts w:ascii="Helvetica" w:hAnsi="Helvetica" w:cs="Arial-BoldMT"/>
          <w:b/>
          <w:sz w:val="16"/>
          <w:szCs w:val="16"/>
        </w:rPr>
        <w:t xml:space="preserve"> </w:t>
      </w:r>
      <w:r w:rsidRPr="00F4773E">
        <w:rPr>
          <w:rFonts w:ascii="Helvetica" w:hAnsi="Helvetica" w:cs="Arial-BoldMT"/>
          <w:bCs/>
          <w:sz w:val="16"/>
          <w:szCs w:val="16"/>
        </w:rPr>
        <w:t>Disruption Fund Alpha est investi au minimum à 85% en parts A (Isin FR0014007W15) du Fonds Maître et à titre accessoire en liquidités. Le FCP nourricier aura toutefois la possibilité d’effectuer de façon discrétionnaire des opérations de couverture des risques actions et/ou de change, au travers l’utilisation d’instruments financiers à terme négociés sur les marchés règlementés internationaux, organisés et/ou de gré à gré.</w:t>
      </w:r>
    </w:p>
    <w:p w14:paraId="75945AD9"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6"/>
          <w:szCs w:val="6"/>
        </w:rPr>
      </w:pPr>
    </w:p>
    <w:p w14:paraId="576E1CE2" w14:textId="77777777" w:rsidR="00473C25" w:rsidRDefault="00473C25" w:rsidP="00124EBC">
      <w:pPr>
        <w:autoSpaceDE w:val="0"/>
        <w:autoSpaceDN w:val="0"/>
        <w:adjustRightInd w:val="0"/>
        <w:spacing w:after="0" w:line="240" w:lineRule="auto"/>
        <w:ind w:left="-810" w:right="360"/>
        <w:jc w:val="both"/>
        <w:rPr>
          <w:rFonts w:ascii="Helvetica" w:hAnsi="Helvetica" w:cs="Arial-BoldMT"/>
          <w:bCs/>
          <w:sz w:val="16"/>
          <w:szCs w:val="16"/>
        </w:rPr>
      </w:pPr>
      <w:r w:rsidRPr="00F4773E">
        <w:rPr>
          <w:rFonts w:ascii="Helvetica" w:hAnsi="Helvetica" w:cs="Arial-BoldMT"/>
          <w:bCs/>
          <w:sz w:val="16"/>
          <w:szCs w:val="16"/>
        </w:rPr>
        <w:t>La performance du Fonds sera différente de celle du Fonds Maître du fait de ses propres frais et de ceux du fonds maître, ainsi que de la couverture précitée.</w:t>
      </w:r>
    </w:p>
    <w:p w14:paraId="3656F33A"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6"/>
          <w:szCs w:val="6"/>
        </w:rPr>
      </w:pPr>
    </w:p>
    <w:p w14:paraId="40BDCBD7"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
          <w:i/>
          <w:iCs/>
          <w:sz w:val="16"/>
          <w:szCs w:val="16"/>
        </w:rPr>
      </w:pPr>
      <w:r w:rsidRPr="00F4773E">
        <w:rPr>
          <w:rFonts w:ascii="Helvetica" w:hAnsi="Helvetica" w:cs="Arial-BoldMT"/>
          <w:b/>
          <w:i/>
          <w:iCs/>
          <w:sz w:val="16"/>
          <w:szCs w:val="16"/>
        </w:rPr>
        <w:t>Rappel des objectifs du Fonds Maître :</w:t>
      </w:r>
    </w:p>
    <w:p w14:paraId="4C41D3CB" w14:textId="77777777" w:rsidR="00473C25" w:rsidRPr="00F4773E" w:rsidRDefault="00473C25" w:rsidP="00124EBC">
      <w:pPr>
        <w:autoSpaceDE w:val="0"/>
        <w:autoSpaceDN w:val="0"/>
        <w:spacing w:after="0" w:line="240" w:lineRule="auto"/>
        <w:ind w:left="-810" w:right="360"/>
        <w:jc w:val="both"/>
        <w:rPr>
          <w:rFonts w:ascii="Helvetica" w:hAnsi="Helvetica"/>
          <w:i/>
          <w:iCs/>
          <w:sz w:val="20"/>
        </w:rPr>
      </w:pPr>
      <w:r w:rsidRPr="00F4773E">
        <w:rPr>
          <w:rFonts w:ascii="Helvetica" w:hAnsi="Helvetica" w:cs="Arial-BoldMT"/>
          <w:bCs/>
          <w:i/>
          <w:iCs/>
          <w:sz w:val="16"/>
          <w:szCs w:val="16"/>
        </w:rPr>
        <w:t>Disruption Fund Master investi dans l’innovation technologique. Plus spécifiquement, le gérant identifie les secteurs d’activités économiques connaissant des ruptures technologiques et/ou structurelles, et investit dans les sociétés initiatrices et contributrices à ces ruptures. Il s’agit d’investir dans des sociétés qui développent et innovent dans de nouvelles technologies lorsque celles-ci trouvent leurs applications commerciales, et connaissent une phase d’adoption rapide. Une attention particulière est portée sur les adoptions dites de masse, aux effet réseaux importants et à la croissance organique. De manière générale, les ruptures technologiques sont celles qui donnent lieu à des nouveaux modèles économiques et/ou de nouveaux comportements sociaux.</w:t>
      </w:r>
    </w:p>
    <w:p w14:paraId="1466E0AD"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6"/>
          <w:szCs w:val="6"/>
        </w:rPr>
      </w:pPr>
    </w:p>
    <w:p w14:paraId="49C5FCBA"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16"/>
          <w:szCs w:val="16"/>
        </w:rPr>
      </w:pPr>
      <w:r w:rsidRPr="00F4773E">
        <w:rPr>
          <w:rFonts w:ascii="Helvetica" w:hAnsi="Helvetica" w:cs="Arial-BoldMT"/>
          <w:bCs/>
          <w:i/>
          <w:iCs/>
          <w:sz w:val="16"/>
          <w:szCs w:val="16"/>
        </w:rPr>
        <w:t>Le fonds peut investir dans des titres de sociétés de tous secteurs bénéficiant de la croissance et des innovations technologiques créant un nouveau marché susceptible de concurrencer voire de remplacer les modèles économiques existants, de grande, moyenne ou petite capitalisation. Selon son analyse, le gérant recherche des sociétés leaders, à croissance rapide et au management visionnaire tout en prenant en compte les risques de durabilité et les caractéristiques Environnementales, Sociales et de Gouvernance (« ESG ») dans le cadre de sa procédure de sélection. L’OPCVM ne poursuit pas un objectif d’investissement durable, il fait uniquement la promotion de caractéristiques environnementales ou sociales au sens de l’article 8 du Règlement SFDR. La part des émetteurs notée ESG dans le portefeuille actions du Fonds sera durablement supérieure à 90%.</w:t>
      </w:r>
    </w:p>
    <w:p w14:paraId="4B7D4808"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6"/>
          <w:szCs w:val="6"/>
        </w:rPr>
      </w:pPr>
    </w:p>
    <w:p w14:paraId="20413A4B"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16"/>
          <w:szCs w:val="16"/>
        </w:rPr>
      </w:pPr>
      <w:r w:rsidRPr="00F4773E">
        <w:rPr>
          <w:rFonts w:ascii="Helvetica" w:hAnsi="Helvetica" w:cs="Arial-BoldMT"/>
          <w:bCs/>
          <w:i/>
          <w:iCs/>
          <w:sz w:val="16"/>
          <w:szCs w:val="16"/>
        </w:rPr>
        <w:t>Dans ce contexte, le Fonds met en place une gestion de conviction et rigoureuse selon les étapes de sélection suivantes :</w:t>
      </w:r>
    </w:p>
    <w:p w14:paraId="01660B7E" w14:textId="77777777" w:rsidR="00473C25" w:rsidRPr="00F4773E" w:rsidRDefault="00473C25" w:rsidP="00124EBC">
      <w:pPr>
        <w:autoSpaceDE w:val="0"/>
        <w:autoSpaceDN w:val="0"/>
        <w:adjustRightInd w:val="0"/>
        <w:spacing w:after="0" w:line="240" w:lineRule="auto"/>
        <w:ind w:left="-810" w:right="360"/>
        <w:jc w:val="both"/>
        <w:rPr>
          <w:rFonts w:ascii="Helvetica" w:hAnsi="Helvetica" w:cs="Arial-BoldMT"/>
          <w:bCs/>
          <w:i/>
          <w:iCs/>
          <w:sz w:val="6"/>
          <w:szCs w:val="6"/>
        </w:rPr>
      </w:pPr>
    </w:p>
    <w:p w14:paraId="42D395BF" w14:textId="77777777" w:rsidR="00473C25" w:rsidRPr="00F4773E" w:rsidRDefault="00473C25" w:rsidP="00124EBC">
      <w:pPr>
        <w:pStyle w:val="ListParagraph"/>
        <w:numPr>
          <w:ilvl w:val="0"/>
          <w:numId w:val="5"/>
        </w:numPr>
        <w:autoSpaceDE w:val="0"/>
        <w:autoSpaceDN w:val="0"/>
        <w:adjustRightInd w:val="0"/>
        <w:spacing w:after="0" w:line="240" w:lineRule="auto"/>
        <w:ind w:left="-810" w:right="360" w:hanging="142"/>
        <w:jc w:val="both"/>
        <w:rPr>
          <w:rFonts w:ascii="Helvetica" w:hAnsi="Helvetica" w:cs="Arial-BoldMT"/>
          <w:bCs/>
          <w:i/>
          <w:iCs/>
          <w:sz w:val="16"/>
          <w:szCs w:val="16"/>
        </w:rPr>
      </w:pPr>
      <w:r w:rsidRPr="00F4773E">
        <w:rPr>
          <w:rFonts w:ascii="Helvetica" w:hAnsi="Helvetica" w:cs="Arial-BoldMT"/>
          <w:bCs/>
          <w:i/>
          <w:iCs/>
          <w:sz w:val="16"/>
          <w:szCs w:val="16"/>
        </w:rPr>
        <w:t>La première étape vise à identifier les secteurs et sous-secteurs économiques qui connaissent une rupture technologique et/ou structurelle ;</w:t>
      </w:r>
    </w:p>
    <w:p w14:paraId="4A24AA56" w14:textId="77777777" w:rsidR="00473C25" w:rsidRPr="00F4773E" w:rsidRDefault="00473C25" w:rsidP="00124EBC">
      <w:pPr>
        <w:pStyle w:val="ListParagraph"/>
        <w:numPr>
          <w:ilvl w:val="0"/>
          <w:numId w:val="5"/>
        </w:numPr>
        <w:autoSpaceDE w:val="0"/>
        <w:autoSpaceDN w:val="0"/>
        <w:adjustRightInd w:val="0"/>
        <w:spacing w:after="0" w:line="240" w:lineRule="auto"/>
        <w:ind w:left="-810" w:right="360" w:hanging="142"/>
        <w:jc w:val="both"/>
        <w:rPr>
          <w:rFonts w:ascii="Helvetica" w:hAnsi="Helvetica" w:cs="Arial-BoldMT"/>
          <w:bCs/>
          <w:i/>
          <w:iCs/>
          <w:sz w:val="16"/>
          <w:szCs w:val="16"/>
        </w:rPr>
      </w:pPr>
      <w:r w:rsidRPr="00F4773E">
        <w:rPr>
          <w:rFonts w:ascii="Helvetica" w:hAnsi="Helvetica" w:cs="Arial-BoldMT"/>
          <w:bCs/>
          <w:i/>
          <w:iCs/>
          <w:sz w:val="16"/>
          <w:szCs w:val="16"/>
        </w:rPr>
        <w:t xml:space="preserve">Dans un deuxième temps, l’équipe de gestion étudie ces ruptures et détermine de la création de valeur (« création de richesse ») des nouveaux modèles économiques et/ou de nouveaux comportements sociaux ainsi que de la durabilité et de la résilience de l’opportunité sectorielle. </w:t>
      </w:r>
    </w:p>
    <w:p w14:paraId="255891C1" w14:textId="451933A9" w:rsidR="000008EA" w:rsidRDefault="00473C25" w:rsidP="000008EA">
      <w:pPr>
        <w:pStyle w:val="ListParagraph"/>
        <w:numPr>
          <w:ilvl w:val="0"/>
          <w:numId w:val="5"/>
        </w:numPr>
        <w:autoSpaceDE w:val="0"/>
        <w:autoSpaceDN w:val="0"/>
        <w:adjustRightInd w:val="0"/>
        <w:spacing w:after="0" w:line="240" w:lineRule="auto"/>
        <w:ind w:left="-810" w:right="360" w:hanging="142"/>
        <w:jc w:val="both"/>
        <w:rPr>
          <w:rFonts w:ascii="Helvetica" w:hAnsi="Helvetica" w:cs="Arial-BoldMT"/>
          <w:bCs/>
          <w:i/>
          <w:iCs/>
          <w:sz w:val="16"/>
          <w:szCs w:val="16"/>
        </w:rPr>
      </w:pPr>
      <w:r w:rsidRPr="000008EA">
        <w:rPr>
          <w:rFonts w:ascii="Helvetica" w:hAnsi="Helvetica" w:cs="Arial-BoldMT"/>
          <w:bCs/>
          <w:i/>
          <w:iCs/>
          <w:sz w:val="16"/>
          <w:szCs w:val="16"/>
        </w:rPr>
        <w:t xml:space="preserve">En troisième lieu, dans les secteurs retenus, le gérant identifie les sociétés qui participent et profitent de ces ruptures et qui en sont les leaders selon la société de gestion. </w:t>
      </w:r>
    </w:p>
    <w:p w14:paraId="648F311E" w14:textId="77777777" w:rsidR="00473C25" w:rsidRPr="00F4773E" w:rsidRDefault="00473C25" w:rsidP="000008EA">
      <w:pPr>
        <w:pStyle w:val="ListParagraph"/>
        <w:numPr>
          <w:ilvl w:val="0"/>
          <w:numId w:val="5"/>
        </w:numPr>
        <w:autoSpaceDE w:val="0"/>
        <w:autoSpaceDN w:val="0"/>
        <w:adjustRightInd w:val="0"/>
        <w:spacing w:after="0" w:line="240" w:lineRule="auto"/>
        <w:ind w:left="-810" w:right="360" w:hanging="142"/>
        <w:jc w:val="both"/>
        <w:rPr>
          <w:rFonts w:ascii="Helvetica" w:hAnsi="Helvetica" w:cs="Arial-BoldMT"/>
          <w:bCs/>
          <w:i/>
          <w:iCs/>
          <w:sz w:val="16"/>
          <w:szCs w:val="16"/>
        </w:rPr>
      </w:pPr>
      <w:r w:rsidRPr="00F4773E">
        <w:rPr>
          <w:rFonts w:ascii="Helvetica" w:hAnsi="Helvetica" w:cs="Arial-BoldMT"/>
          <w:bCs/>
          <w:i/>
          <w:iCs/>
          <w:sz w:val="16"/>
          <w:szCs w:val="16"/>
        </w:rPr>
        <w:t>En quatrième lieu, un filtrage extra-financier contraignant fondée sur des critères ESG est appliqué pour réduire l’univers d’investissement.</w:t>
      </w:r>
    </w:p>
    <w:p w14:paraId="645C33AC"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6"/>
          <w:szCs w:val="6"/>
        </w:rPr>
      </w:pPr>
    </w:p>
    <w:p w14:paraId="40373D47"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16"/>
          <w:szCs w:val="16"/>
        </w:rPr>
      </w:pPr>
      <w:r w:rsidRPr="00F4773E">
        <w:rPr>
          <w:rFonts w:ascii="Helvetica" w:eastAsia="Calibri" w:hAnsi="Helvetica" w:cs="Helvetica"/>
          <w:i/>
          <w:iCs/>
          <w:sz w:val="16"/>
          <w:szCs w:val="16"/>
        </w:rPr>
        <w:t xml:space="preserve">Quadrille Capital intègre l’analyse ESG (Environnementaux et/ou Sociaux et/ou de Gouvernance) aux côtés de l’analyse financière conventionnelle pour identifier les risques de durabilité des émetteurs dans l’univers d’investissement. Dans cette démarche </w:t>
      </w:r>
      <w:r w:rsidRPr="00F4773E">
        <w:rPr>
          <w:rFonts w:ascii="Helvetica" w:hAnsi="Helvetica" w:cs="Helvetica"/>
          <w:bCs/>
          <w:i/>
          <w:iCs/>
          <w:sz w:val="16"/>
          <w:szCs w:val="16"/>
        </w:rPr>
        <w:t>la gestion cherche à sélectionner les titres et émetteurs combinant un potentiel de croissance, de profitabilité et des caractéristiques ESG susceptibles d’augmenter l’endurance et la durabilité de son activité.</w:t>
      </w:r>
      <w:r w:rsidRPr="00F4773E">
        <w:rPr>
          <w:rFonts w:ascii="Helvetica" w:eastAsia="Calibri" w:hAnsi="Helvetica" w:cs="Helvetica"/>
          <w:i/>
          <w:iCs/>
          <w:sz w:val="16"/>
          <w:szCs w:val="16"/>
        </w:rPr>
        <w:t xml:space="preserve"> </w:t>
      </w:r>
      <w:r w:rsidRPr="00F4773E">
        <w:rPr>
          <w:rFonts w:ascii="Helvetica" w:hAnsi="Helvetica" w:cs="Arial-BoldMT"/>
          <w:bCs/>
          <w:i/>
          <w:iCs/>
          <w:sz w:val="16"/>
          <w:szCs w:val="16"/>
        </w:rPr>
        <w:t xml:space="preserve">Disruption Fund Master intègre de manière systématique les critères de durabilité à la gestion financière au travers d’une matrice d’analyse ESG propriétaire (la « Matrice »). La Matrice permet d’attribuer une note sur cent à chaque émetteur. Cette notation est déterminée par une méthodologie interne dont les grands principes sont les suivants : </w:t>
      </w:r>
    </w:p>
    <w:p w14:paraId="2236A6EF" w14:textId="77777777" w:rsidR="00473C25" w:rsidRPr="00F4773E" w:rsidRDefault="00473C25" w:rsidP="000008EA">
      <w:pPr>
        <w:pStyle w:val="ListParagraph"/>
        <w:numPr>
          <w:ilvl w:val="0"/>
          <w:numId w:val="5"/>
        </w:numPr>
        <w:autoSpaceDE w:val="0"/>
        <w:autoSpaceDN w:val="0"/>
        <w:adjustRightInd w:val="0"/>
        <w:spacing w:after="0" w:line="240" w:lineRule="auto"/>
        <w:ind w:left="-90"/>
        <w:jc w:val="both"/>
        <w:rPr>
          <w:rFonts w:ascii="Helvetica" w:hAnsi="Helvetica" w:cs="Arial-BoldMT"/>
          <w:bCs/>
          <w:i/>
          <w:iCs/>
          <w:sz w:val="6"/>
          <w:szCs w:val="6"/>
        </w:rPr>
      </w:pPr>
    </w:p>
    <w:p w14:paraId="25AEE602"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Les critères d’Environnement, Social et de Gouvernance sont équipondérés ;</w:t>
      </w:r>
    </w:p>
    <w:p w14:paraId="41BAA3A2"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La notation du portefeuille doit être supérieure à la note moyenne de l’univers de référence ;</w:t>
      </w:r>
    </w:p>
    <w:p w14:paraId="30244D94"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 xml:space="preserve">Chaque émetteur doit être au-dessus d’une note ESG minimale </w:t>
      </w:r>
    </w:p>
    <w:p w14:paraId="7BC0E46E"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 xml:space="preserve">Application d’exclusions normatives et sectorielles </w:t>
      </w:r>
    </w:p>
    <w:p w14:paraId="32083C9C"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Un malus est appliqué pour les controverses.</w:t>
      </w:r>
    </w:p>
    <w:p w14:paraId="0109EED6" w14:textId="77777777" w:rsidR="00473C25" w:rsidRPr="00F4773E" w:rsidRDefault="00473C25" w:rsidP="000008EA">
      <w:pPr>
        <w:pStyle w:val="ListParagraph"/>
        <w:numPr>
          <w:ilvl w:val="0"/>
          <w:numId w:val="5"/>
        </w:numPr>
        <w:autoSpaceDE w:val="0"/>
        <w:autoSpaceDN w:val="0"/>
        <w:adjustRightInd w:val="0"/>
        <w:spacing w:after="0" w:line="240" w:lineRule="auto"/>
        <w:ind w:left="-90"/>
        <w:jc w:val="both"/>
        <w:rPr>
          <w:rFonts w:ascii="Helvetica" w:hAnsi="Helvetica" w:cs="Arial-BoldMT"/>
          <w:bCs/>
          <w:i/>
          <w:iCs/>
          <w:sz w:val="6"/>
          <w:szCs w:val="6"/>
        </w:rPr>
      </w:pPr>
    </w:p>
    <w:p w14:paraId="751C4A20"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6"/>
          <w:szCs w:val="6"/>
        </w:rPr>
      </w:pPr>
      <w:r w:rsidRPr="00F4773E">
        <w:rPr>
          <w:rFonts w:ascii="Helvetica" w:hAnsi="Helvetica" w:cs="Helvetica"/>
          <w:bCs/>
          <w:i/>
          <w:iCs/>
          <w:sz w:val="16"/>
          <w:szCs w:val="16"/>
        </w:rPr>
        <w:t>Des exemples ainsi que les limites de cette méthode sont précisés dans le Prospectus de l’OPCVM.</w:t>
      </w:r>
      <w:r w:rsidRPr="00F4773E">
        <w:rPr>
          <w:rFonts w:ascii="Helvetica" w:hAnsi="Helvetica" w:cs="Helvetica"/>
          <w:bCs/>
          <w:i/>
          <w:iCs/>
          <w:sz w:val="16"/>
          <w:szCs w:val="16"/>
        </w:rPr>
        <w:br/>
      </w:r>
    </w:p>
    <w:p w14:paraId="5954AB48"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16"/>
          <w:szCs w:val="16"/>
        </w:rPr>
      </w:pPr>
      <w:r w:rsidRPr="00F4773E">
        <w:rPr>
          <w:rFonts w:ascii="Helvetica" w:hAnsi="Helvetica" w:cs="Arial-BoldMT"/>
          <w:bCs/>
          <w:i/>
          <w:iCs/>
          <w:sz w:val="16"/>
          <w:szCs w:val="16"/>
        </w:rPr>
        <w:t>Le fonds sera exposé à tout moment principalement en direct :</w:t>
      </w:r>
    </w:p>
    <w:p w14:paraId="203BBFB3"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de 90% à 100% de l’actif net en actions des pays de l’OCDE de tous secteurs d’activité et de toutes tailles de capitalisations ;</w:t>
      </w:r>
    </w:p>
    <w:p w14:paraId="2F360800"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 xml:space="preserve">jusqu’à 10% maximum de son actif net en actions cotées de sociétés immatriculées dans des pays émergents hors OCDE (par exemple la Chine, l’Inde, les pays d’Amérique Latine). </w:t>
      </w:r>
    </w:p>
    <w:p w14:paraId="46DDB6E6"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 xml:space="preserve">jusqu’à 10% de l’actif net maximum en ETN « Exchange </w:t>
      </w:r>
      <w:proofErr w:type="spellStart"/>
      <w:r w:rsidRPr="00F4773E">
        <w:rPr>
          <w:rFonts w:ascii="Helvetica" w:hAnsi="Helvetica" w:cs="Arial-BoldMT"/>
          <w:bCs/>
          <w:i/>
          <w:iCs/>
          <w:sz w:val="16"/>
          <w:szCs w:val="16"/>
        </w:rPr>
        <w:t>Traded</w:t>
      </w:r>
      <w:proofErr w:type="spellEnd"/>
      <w:r w:rsidRPr="00F4773E">
        <w:rPr>
          <w:rFonts w:ascii="Helvetica" w:hAnsi="Helvetica" w:cs="Arial-BoldMT"/>
          <w:bCs/>
          <w:i/>
          <w:iCs/>
          <w:sz w:val="16"/>
          <w:szCs w:val="16"/>
        </w:rPr>
        <w:t xml:space="preserve"> Note » ;</w:t>
      </w:r>
    </w:p>
    <w:p w14:paraId="42BE79A9" w14:textId="77777777" w:rsidR="00473C25" w:rsidRPr="00F4773E" w:rsidRDefault="00473C25" w:rsidP="000008EA">
      <w:pPr>
        <w:pStyle w:val="ListParagraph"/>
        <w:numPr>
          <w:ilvl w:val="0"/>
          <w:numId w:val="5"/>
        </w:numPr>
        <w:autoSpaceDE w:val="0"/>
        <w:autoSpaceDN w:val="0"/>
        <w:adjustRightInd w:val="0"/>
        <w:spacing w:after="0" w:line="240" w:lineRule="auto"/>
        <w:ind w:left="-90" w:hanging="142"/>
        <w:jc w:val="both"/>
        <w:rPr>
          <w:rFonts w:ascii="Helvetica" w:hAnsi="Helvetica" w:cs="Arial-BoldMT"/>
          <w:bCs/>
          <w:i/>
          <w:iCs/>
          <w:sz w:val="16"/>
          <w:szCs w:val="16"/>
        </w:rPr>
      </w:pPr>
      <w:r w:rsidRPr="00F4773E">
        <w:rPr>
          <w:rFonts w:ascii="Helvetica" w:hAnsi="Helvetica" w:cs="Arial-BoldMT"/>
          <w:bCs/>
          <w:i/>
          <w:iCs/>
          <w:sz w:val="16"/>
          <w:szCs w:val="16"/>
        </w:rPr>
        <w:t>jusqu’à 100% de l’actif net au risque de change sur les devises hors euro dont principalement le dollar US.</w:t>
      </w:r>
    </w:p>
    <w:p w14:paraId="204E15A6"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6"/>
          <w:szCs w:val="6"/>
        </w:rPr>
      </w:pPr>
    </w:p>
    <w:p w14:paraId="6EA13F31"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16"/>
          <w:szCs w:val="16"/>
        </w:rPr>
      </w:pPr>
      <w:r w:rsidRPr="00F4773E">
        <w:rPr>
          <w:rFonts w:ascii="Helvetica" w:hAnsi="Helvetica" w:cs="Arial-BoldMT"/>
          <w:bCs/>
          <w:i/>
          <w:iCs/>
          <w:sz w:val="16"/>
          <w:szCs w:val="16"/>
        </w:rPr>
        <w:t xml:space="preserve">Pour accéder à ces marchés ou à des styles de gestion spécifiques, l’OPCVM pourra investir jusqu’à 10% en parts ou actions d’OPCVM, FIA de droit français et/ou de droit européens, ou fonds d’investissement de droit étranger ou Exchange </w:t>
      </w:r>
      <w:proofErr w:type="spellStart"/>
      <w:r w:rsidRPr="00F4773E">
        <w:rPr>
          <w:rFonts w:ascii="Helvetica" w:hAnsi="Helvetica" w:cs="Arial-BoldMT"/>
          <w:bCs/>
          <w:i/>
          <w:iCs/>
          <w:sz w:val="16"/>
          <w:szCs w:val="16"/>
        </w:rPr>
        <w:t>Traded</w:t>
      </w:r>
      <w:proofErr w:type="spellEnd"/>
      <w:r w:rsidRPr="00F4773E">
        <w:rPr>
          <w:rFonts w:ascii="Helvetica" w:hAnsi="Helvetica" w:cs="Arial-BoldMT"/>
          <w:bCs/>
          <w:i/>
          <w:iCs/>
          <w:sz w:val="16"/>
          <w:szCs w:val="16"/>
        </w:rPr>
        <w:t xml:space="preserve"> Funds (ETF). Ces OPC permettront également de gérer la trésorerie du fonds.</w:t>
      </w:r>
    </w:p>
    <w:p w14:paraId="3B023C5A"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6"/>
          <w:szCs w:val="6"/>
        </w:rPr>
      </w:pPr>
    </w:p>
    <w:p w14:paraId="5FD224C8"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i/>
          <w:iCs/>
          <w:sz w:val="16"/>
          <w:szCs w:val="16"/>
        </w:rPr>
      </w:pPr>
      <w:r w:rsidRPr="00F4773E">
        <w:rPr>
          <w:rFonts w:ascii="Helvetica" w:hAnsi="Helvetica" w:cs="Arial-BoldMT"/>
          <w:bCs/>
          <w:i/>
          <w:iCs/>
          <w:sz w:val="16"/>
          <w:szCs w:val="16"/>
        </w:rPr>
        <w:t>Des instruments financiers à terme peuvent être utilisés de façon discrétionnaire à seule fin de couverture totale ou partielle du risque actions ou de change.et/ou d’exposition au risque actions.</w:t>
      </w:r>
    </w:p>
    <w:p w14:paraId="1BD9EF90"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Cs/>
          <w:sz w:val="16"/>
          <w:szCs w:val="16"/>
        </w:rPr>
      </w:pPr>
      <w:r w:rsidRPr="00F4773E">
        <w:rPr>
          <w:rFonts w:ascii="Helvetica" w:hAnsi="Helvetica" w:cs="Arial-BoldMT"/>
          <w:b/>
          <w:color w:val="1F497D" w:themeColor="text2"/>
          <w:sz w:val="16"/>
          <w:szCs w:val="16"/>
        </w:rPr>
        <w:t>Objectifs de gestion :</w:t>
      </w:r>
      <w:r w:rsidRPr="00F4773E">
        <w:rPr>
          <w:rFonts w:ascii="Helvetica" w:hAnsi="Helvetica" w:cs="Arial-BoldMT"/>
          <w:b/>
          <w:sz w:val="16"/>
          <w:szCs w:val="16"/>
        </w:rPr>
        <w:t xml:space="preserve"> </w:t>
      </w:r>
      <w:r w:rsidRPr="00F4773E">
        <w:rPr>
          <w:rFonts w:ascii="Helvetica" w:hAnsi="Helvetica" w:cs="Arial-BoldMT"/>
          <w:bCs/>
          <w:sz w:val="16"/>
          <w:szCs w:val="16"/>
        </w:rPr>
        <w:t xml:space="preserve">L’objectif de gestion du Fonds nourricier est identique à celui du Fonds Maître. </w:t>
      </w:r>
    </w:p>
    <w:p w14:paraId="12C8382A" w14:textId="77777777" w:rsidR="00473C25" w:rsidRPr="00F4773E" w:rsidRDefault="00473C25" w:rsidP="000008EA">
      <w:pPr>
        <w:autoSpaceDE w:val="0"/>
        <w:autoSpaceDN w:val="0"/>
        <w:adjustRightInd w:val="0"/>
        <w:spacing w:after="0" w:line="240" w:lineRule="auto"/>
        <w:ind w:left="-90"/>
        <w:jc w:val="both"/>
        <w:rPr>
          <w:rFonts w:ascii="Helvetica" w:hAnsi="Helvetica" w:cs="Arial-BoldMT"/>
          <w:b/>
          <w:i/>
          <w:iCs/>
          <w:sz w:val="16"/>
          <w:szCs w:val="16"/>
        </w:rPr>
      </w:pPr>
      <w:r w:rsidRPr="00F4773E">
        <w:rPr>
          <w:rFonts w:ascii="Helvetica" w:hAnsi="Helvetica" w:cs="Arial-BoldMT"/>
          <w:b/>
          <w:i/>
          <w:iCs/>
          <w:sz w:val="16"/>
          <w:szCs w:val="16"/>
        </w:rPr>
        <w:t>Rappel de l’objectif de gestion du Fonds Maître :</w:t>
      </w:r>
    </w:p>
    <w:p w14:paraId="261F565C" w14:textId="77777777" w:rsidR="00473C25" w:rsidRPr="00710C80" w:rsidRDefault="00473C25" w:rsidP="000008EA">
      <w:pPr>
        <w:autoSpaceDE w:val="0"/>
        <w:autoSpaceDN w:val="0"/>
        <w:adjustRightInd w:val="0"/>
        <w:spacing w:after="0" w:line="240" w:lineRule="auto"/>
        <w:ind w:left="-90"/>
        <w:jc w:val="both"/>
        <w:rPr>
          <w:rFonts w:ascii="Helvetica" w:hAnsi="Helvetica" w:cs="Arial-BoldMT"/>
          <w:bCs/>
          <w:i/>
          <w:iCs/>
          <w:sz w:val="16"/>
          <w:szCs w:val="16"/>
        </w:rPr>
      </w:pPr>
      <w:r w:rsidRPr="00F4773E">
        <w:rPr>
          <w:rFonts w:ascii="Helvetica" w:hAnsi="Helvetica" w:cs="Arial-BoldMT"/>
          <w:bCs/>
          <w:i/>
          <w:iCs/>
          <w:sz w:val="16"/>
          <w:szCs w:val="16"/>
        </w:rPr>
        <w:t xml:space="preserve">Obtenir une performance supérieure à celle de son indicateur de référence. Le Fonds prend en compte les risques de durabilité et les caractéristiques ESG dans le cadre de sa procédure de sélection. A cet égard, le Fonds promeut des </w:t>
      </w:r>
      <w:r w:rsidRPr="00710C80">
        <w:rPr>
          <w:rFonts w:ascii="Helvetica" w:hAnsi="Helvetica" w:cs="Arial-BoldMT"/>
          <w:bCs/>
          <w:i/>
          <w:iCs/>
          <w:sz w:val="16"/>
          <w:szCs w:val="16"/>
        </w:rPr>
        <w:t>caractéristiques environnementales ou sociales au sens de l’article 8 du Règlement SFDR. Le Fonds est soumis à un risque en matière de durabilité tel que défini dans le profil de risque du prospectus.</w:t>
      </w:r>
    </w:p>
    <w:p w14:paraId="1B40DC9E" w14:textId="77777777" w:rsidR="00473C25" w:rsidRPr="00710C80" w:rsidRDefault="00473C25" w:rsidP="000008EA">
      <w:pPr>
        <w:autoSpaceDE w:val="0"/>
        <w:autoSpaceDN w:val="0"/>
        <w:adjustRightInd w:val="0"/>
        <w:spacing w:after="0" w:line="240" w:lineRule="auto"/>
        <w:ind w:left="-90"/>
        <w:jc w:val="both"/>
        <w:rPr>
          <w:rFonts w:ascii="Helvetica" w:hAnsi="Helvetica" w:cs="Arial-BoldMT"/>
          <w:bCs/>
          <w:sz w:val="16"/>
          <w:szCs w:val="16"/>
        </w:rPr>
      </w:pPr>
      <w:r w:rsidRPr="00710C80">
        <w:rPr>
          <w:rFonts w:ascii="Helvetica" w:hAnsi="Helvetica" w:cs="Arial-BoldMT"/>
          <w:b/>
          <w:color w:val="1F497D" w:themeColor="text2"/>
          <w:sz w:val="16"/>
          <w:szCs w:val="16"/>
        </w:rPr>
        <w:t>Indicateur de référence :</w:t>
      </w:r>
      <w:r w:rsidRPr="00710C80">
        <w:rPr>
          <w:rFonts w:ascii="Helvetica" w:hAnsi="Helvetica" w:cs="Arial-BoldMT"/>
          <w:bCs/>
          <w:sz w:val="16"/>
          <w:szCs w:val="16"/>
        </w:rPr>
        <w:t xml:space="preserve"> L’indicateur du Fonds nourricier est le même que celui du Fonds Maître, à savoir le MSCI World Total Net Return EUR</w:t>
      </w:r>
    </w:p>
    <w:p w14:paraId="225C6108" w14:textId="77777777" w:rsidR="00473C25" w:rsidRPr="00710C80" w:rsidRDefault="00473C25" w:rsidP="000008EA">
      <w:pPr>
        <w:autoSpaceDE w:val="0"/>
        <w:autoSpaceDN w:val="0"/>
        <w:adjustRightInd w:val="0"/>
        <w:spacing w:after="0" w:line="240" w:lineRule="auto"/>
        <w:ind w:left="-90"/>
        <w:jc w:val="both"/>
        <w:rPr>
          <w:rFonts w:ascii="Helvetica" w:hAnsi="Helvetica" w:cs="Arial-BoldMT"/>
          <w:bCs/>
          <w:sz w:val="16"/>
          <w:szCs w:val="16"/>
        </w:rPr>
      </w:pPr>
      <w:r w:rsidRPr="00710C80">
        <w:rPr>
          <w:rFonts w:ascii="Helvetica" w:hAnsi="Helvetica" w:cs="Arial-BoldMT"/>
          <w:b/>
          <w:color w:val="1F497D" w:themeColor="text2"/>
          <w:sz w:val="16"/>
          <w:szCs w:val="16"/>
        </w:rPr>
        <w:t xml:space="preserve">Affectation des revenus : </w:t>
      </w:r>
      <w:r w:rsidRPr="00710C80">
        <w:rPr>
          <w:rFonts w:ascii="Helvetica" w:hAnsi="Helvetica" w:cs="Arial-BoldMT"/>
          <w:bCs/>
          <w:sz w:val="16"/>
          <w:szCs w:val="16"/>
        </w:rPr>
        <w:t>Capitalisation</w:t>
      </w:r>
    </w:p>
    <w:p w14:paraId="234BB941" w14:textId="77777777" w:rsidR="000008EA" w:rsidRDefault="000008EA" w:rsidP="000008EA">
      <w:pPr>
        <w:autoSpaceDE w:val="0"/>
        <w:autoSpaceDN w:val="0"/>
        <w:adjustRightInd w:val="0"/>
        <w:spacing w:after="0" w:line="240" w:lineRule="auto"/>
        <w:ind w:left="-90"/>
        <w:jc w:val="both"/>
        <w:rPr>
          <w:rFonts w:ascii="Helvetica" w:hAnsi="Helvetica" w:cs="Arial-BoldMT"/>
          <w:b/>
          <w:color w:val="1F497D" w:themeColor="text2"/>
          <w:sz w:val="16"/>
          <w:szCs w:val="16"/>
        </w:rPr>
      </w:pPr>
    </w:p>
    <w:p w14:paraId="43FCF70E" w14:textId="77777777" w:rsidR="00263DCB" w:rsidRDefault="00263DCB">
      <w:pPr>
        <w:rPr>
          <w:rFonts w:ascii="Helvetica" w:hAnsi="Helvetica" w:cs="Arial-BoldMT"/>
          <w:b/>
          <w:color w:val="1F497D" w:themeColor="text2"/>
          <w:sz w:val="16"/>
          <w:szCs w:val="16"/>
        </w:rPr>
        <w:sectPr w:rsidR="00263DCB" w:rsidSect="000008EA">
          <w:type w:val="continuous"/>
          <w:pgSz w:w="11905" w:h="16837"/>
          <w:pgMar w:top="951" w:right="205" w:bottom="709" w:left="1080" w:header="403" w:footer="403" w:gutter="0"/>
          <w:cols w:num="2" w:space="180"/>
          <w:noEndnote/>
          <w:titlePg/>
          <w:docGrid w:linePitch="299"/>
        </w:sectPr>
      </w:pPr>
    </w:p>
    <w:p w14:paraId="4D033C42" w14:textId="573C04B0" w:rsidR="00473C25" w:rsidRPr="00710C80" w:rsidRDefault="00473C25" w:rsidP="000008EA">
      <w:pPr>
        <w:autoSpaceDE w:val="0"/>
        <w:autoSpaceDN w:val="0"/>
        <w:adjustRightInd w:val="0"/>
        <w:spacing w:after="0" w:line="240" w:lineRule="auto"/>
        <w:ind w:left="-810"/>
        <w:jc w:val="both"/>
        <w:rPr>
          <w:rFonts w:ascii="Helvetica" w:hAnsi="Helvetica" w:cs="ArialMT"/>
          <w:sz w:val="16"/>
          <w:szCs w:val="16"/>
        </w:rPr>
      </w:pPr>
      <w:r w:rsidRPr="00710C80">
        <w:rPr>
          <w:rFonts w:ascii="Helvetica" w:hAnsi="Helvetica" w:cs="Arial-BoldMT"/>
          <w:b/>
          <w:color w:val="1F497D" w:themeColor="text2"/>
          <w:sz w:val="16"/>
          <w:szCs w:val="16"/>
        </w:rPr>
        <w:lastRenderedPageBreak/>
        <w:t>Heure limite de centralisation des ordres de souscriptions/rachats :</w:t>
      </w:r>
      <w:r w:rsidRPr="00710C80">
        <w:rPr>
          <w:rFonts w:ascii="Helvetica" w:hAnsi="Helvetica" w:cs="Arial-BoldMT"/>
          <w:b/>
          <w:sz w:val="16"/>
          <w:szCs w:val="16"/>
        </w:rPr>
        <w:t xml:space="preserve"> </w:t>
      </w:r>
      <w:r w:rsidRPr="00710C80">
        <w:rPr>
          <w:rFonts w:ascii="Helvetica" w:hAnsi="Helvetica" w:cs="ArialMT"/>
          <w:sz w:val="16"/>
          <w:szCs w:val="16"/>
        </w:rPr>
        <w:t xml:space="preserve">Les demandes de souscriptions et de rachats sont reçues et centralisées par Société Générale chaque jour de bourse ouvrable avant 9h00, heure de Paris (J) et exécutées sur la base de la valeur liquidative calculée sur les cours de clôture de Bourse du jour ouvrable (J). </w:t>
      </w:r>
    </w:p>
    <w:p w14:paraId="102B8D57" w14:textId="1F731536" w:rsidR="00473C25" w:rsidRDefault="00473C25" w:rsidP="000008EA">
      <w:pPr>
        <w:autoSpaceDE w:val="0"/>
        <w:autoSpaceDN w:val="0"/>
        <w:adjustRightInd w:val="0"/>
        <w:spacing w:after="0" w:line="240" w:lineRule="auto"/>
        <w:ind w:left="-810"/>
        <w:jc w:val="both"/>
        <w:rPr>
          <w:rFonts w:ascii="Helvetica" w:hAnsi="Helvetica" w:cs="ArialMT"/>
          <w:sz w:val="16"/>
          <w:szCs w:val="16"/>
        </w:rPr>
      </w:pPr>
      <w:r w:rsidRPr="00710C80">
        <w:rPr>
          <w:rFonts w:ascii="Helvetica" w:hAnsi="Helvetica" w:cs="ArialMT"/>
          <w:sz w:val="16"/>
          <w:szCs w:val="16"/>
        </w:rPr>
        <w:t xml:space="preserve">Un dispositif de plafonnement des rachats dit de </w:t>
      </w:r>
      <w:proofErr w:type="spellStart"/>
      <w:r w:rsidRPr="00710C80">
        <w:rPr>
          <w:rFonts w:ascii="Helvetica" w:hAnsi="Helvetica" w:cs="ArialMT"/>
          <w:sz w:val="16"/>
          <w:szCs w:val="16"/>
        </w:rPr>
        <w:t>gates</w:t>
      </w:r>
      <w:proofErr w:type="spellEnd"/>
      <w:r w:rsidRPr="00710C80">
        <w:rPr>
          <w:rFonts w:ascii="Helvetica" w:hAnsi="Helvetica" w:cs="ArialMT"/>
          <w:sz w:val="16"/>
          <w:szCs w:val="16"/>
        </w:rPr>
        <w:t xml:space="preserve"> ainsi qu'un mécanisme d'ajustement de la valeur liquidative dit de swing </w:t>
      </w:r>
      <w:proofErr w:type="spellStart"/>
      <w:r w:rsidRPr="00710C80">
        <w:rPr>
          <w:rFonts w:ascii="Helvetica" w:hAnsi="Helvetica" w:cs="ArialMT"/>
          <w:sz w:val="16"/>
          <w:szCs w:val="16"/>
        </w:rPr>
        <w:t>pricing</w:t>
      </w:r>
      <w:proofErr w:type="spellEnd"/>
      <w:r w:rsidRPr="00710C80">
        <w:rPr>
          <w:rFonts w:ascii="Helvetica" w:hAnsi="Helvetica" w:cs="ArialMT"/>
          <w:sz w:val="16"/>
          <w:szCs w:val="16"/>
        </w:rPr>
        <w:t xml:space="preserve"> peuvent être mis en œuvre par Quadrille Capital. Pour plus d’information sur le fonctionnement de ces dispositifs, veuillez-vous reporter à la rubrique sur les </w:t>
      </w:r>
      <w:proofErr w:type="spellStart"/>
      <w:r w:rsidRPr="00710C80">
        <w:rPr>
          <w:rFonts w:ascii="Helvetica" w:hAnsi="Helvetica" w:cs="ArialMT"/>
          <w:sz w:val="16"/>
          <w:szCs w:val="16"/>
        </w:rPr>
        <w:t>gates</w:t>
      </w:r>
      <w:proofErr w:type="spellEnd"/>
      <w:r w:rsidRPr="00710C80">
        <w:rPr>
          <w:rFonts w:ascii="Helvetica" w:hAnsi="Helvetica" w:cs="ArialMT"/>
          <w:sz w:val="16"/>
          <w:szCs w:val="16"/>
        </w:rPr>
        <w:t xml:space="preserve"> et le swing </w:t>
      </w:r>
      <w:proofErr w:type="spellStart"/>
      <w:r w:rsidRPr="00710C80">
        <w:rPr>
          <w:rFonts w:ascii="Helvetica" w:hAnsi="Helvetica" w:cs="ArialMT"/>
          <w:sz w:val="16"/>
          <w:szCs w:val="16"/>
        </w:rPr>
        <w:t>pricing</w:t>
      </w:r>
      <w:proofErr w:type="spellEnd"/>
      <w:r w:rsidRPr="00710C80">
        <w:rPr>
          <w:rFonts w:ascii="Helvetica" w:hAnsi="Helvetica" w:cs="ArialMT"/>
          <w:sz w:val="16"/>
          <w:szCs w:val="16"/>
        </w:rPr>
        <w:t xml:space="preserve"> dans les modalités de souscription et de rachat du prospectus.</w:t>
      </w:r>
    </w:p>
    <w:p w14:paraId="71DA0284" w14:textId="77777777" w:rsidR="00473C25" w:rsidRPr="00710C80" w:rsidRDefault="00473C25" w:rsidP="00263DCB">
      <w:pPr>
        <w:autoSpaceDE w:val="0"/>
        <w:autoSpaceDN w:val="0"/>
        <w:adjustRightInd w:val="0"/>
        <w:spacing w:after="0" w:line="240" w:lineRule="auto"/>
        <w:ind w:left="-450"/>
        <w:jc w:val="both"/>
        <w:rPr>
          <w:rFonts w:ascii="Helvetica" w:hAnsi="Helvetica" w:cs="Arial-BoldMT"/>
          <w:bCs/>
          <w:sz w:val="16"/>
          <w:szCs w:val="16"/>
        </w:rPr>
      </w:pPr>
      <w:r w:rsidRPr="00710C80">
        <w:rPr>
          <w:rFonts w:ascii="Helvetica" w:hAnsi="Helvetica" w:cs="Arial-BoldMT"/>
          <w:b/>
          <w:color w:val="1F497D" w:themeColor="text2"/>
          <w:sz w:val="16"/>
          <w:szCs w:val="16"/>
        </w:rPr>
        <w:t>Fréquence de valorisation :</w:t>
      </w:r>
      <w:r w:rsidRPr="00710C80">
        <w:rPr>
          <w:rFonts w:ascii="Helvetica" w:hAnsi="Helvetica" w:cs="Arial-BoldMT"/>
          <w:bCs/>
          <w:sz w:val="16"/>
          <w:szCs w:val="16"/>
        </w:rPr>
        <w:t xml:space="preserve"> Chaque jour ouvré sauf jour férié en France et jour de fermeture des marchés français</w:t>
      </w:r>
    </w:p>
    <w:p w14:paraId="539F7FD5" w14:textId="77777777" w:rsidR="00473C25" w:rsidRPr="00710C80" w:rsidRDefault="00473C25" w:rsidP="00263DCB">
      <w:pPr>
        <w:autoSpaceDE w:val="0"/>
        <w:autoSpaceDN w:val="0"/>
        <w:adjustRightInd w:val="0"/>
        <w:spacing w:after="0" w:line="240" w:lineRule="auto"/>
        <w:ind w:left="-450"/>
        <w:jc w:val="both"/>
        <w:rPr>
          <w:rFonts w:ascii="Helvetica" w:hAnsi="Helvetica" w:cs="Arial-BoldMT"/>
          <w:bCs/>
          <w:sz w:val="16"/>
          <w:szCs w:val="16"/>
        </w:rPr>
      </w:pPr>
      <w:r w:rsidRPr="00710C80">
        <w:rPr>
          <w:rFonts w:ascii="Helvetica" w:hAnsi="Helvetica" w:cs="Arial-BoldMT"/>
          <w:b/>
          <w:color w:val="1F497D" w:themeColor="text2"/>
          <w:sz w:val="16"/>
          <w:szCs w:val="16"/>
        </w:rPr>
        <w:t>Investisseurs visés :</w:t>
      </w:r>
      <w:r w:rsidRPr="00710C80">
        <w:rPr>
          <w:rFonts w:ascii="Helvetica" w:hAnsi="Helvetica" w:cs="Arial-BoldMT"/>
          <w:bCs/>
          <w:sz w:val="16"/>
          <w:szCs w:val="16"/>
        </w:rPr>
        <w:t xml:space="preserve"> Tous souscripteurs.</w:t>
      </w:r>
    </w:p>
    <w:p w14:paraId="28F7EE37" w14:textId="77777777" w:rsidR="00473C25" w:rsidRPr="00710C80" w:rsidRDefault="00473C25" w:rsidP="00263DCB">
      <w:pPr>
        <w:autoSpaceDE w:val="0"/>
        <w:autoSpaceDN w:val="0"/>
        <w:adjustRightInd w:val="0"/>
        <w:spacing w:after="0" w:line="240" w:lineRule="auto"/>
        <w:ind w:left="-450"/>
        <w:jc w:val="both"/>
        <w:rPr>
          <w:rFonts w:ascii="Helvetica" w:hAnsi="Helvetica" w:cs="Arial-BoldMT"/>
          <w:b/>
          <w:sz w:val="16"/>
          <w:szCs w:val="16"/>
        </w:rPr>
      </w:pPr>
      <w:r w:rsidRPr="00710C80">
        <w:rPr>
          <w:rFonts w:ascii="Helvetica" w:hAnsi="Helvetica" w:cs="Arial-BoldMT"/>
          <w:b/>
          <w:color w:val="1F497D" w:themeColor="text2"/>
          <w:sz w:val="16"/>
          <w:szCs w:val="16"/>
        </w:rPr>
        <w:t>Dépositaire :</w:t>
      </w:r>
      <w:r w:rsidRPr="00710C80">
        <w:rPr>
          <w:rFonts w:ascii="Helvetica" w:hAnsi="Helvetica" w:cs="Arial-BoldMT"/>
          <w:b/>
          <w:sz w:val="16"/>
          <w:szCs w:val="16"/>
        </w:rPr>
        <w:t xml:space="preserve"> </w:t>
      </w:r>
      <w:r w:rsidRPr="00710C80">
        <w:rPr>
          <w:rFonts w:ascii="Helvetica" w:hAnsi="Helvetica" w:cs="Arial-BoldMT"/>
          <w:bCs/>
          <w:sz w:val="16"/>
          <w:szCs w:val="16"/>
        </w:rPr>
        <w:t>Société Générale</w:t>
      </w:r>
    </w:p>
    <w:p w14:paraId="5AD4DF4F" w14:textId="4A7A73AB" w:rsidR="000713B0" w:rsidRDefault="00473C25" w:rsidP="00263DCB">
      <w:pPr>
        <w:autoSpaceDE w:val="0"/>
        <w:autoSpaceDN w:val="0"/>
        <w:adjustRightInd w:val="0"/>
        <w:spacing w:after="0" w:line="240" w:lineRule="auto"/>
        <w:ind w:left="-450"/>
        <w:jc w:val="both"/>
        <w:rPr>
          <w:rFonts w:ascii="Helvetica" w:hAnsi="Helvetica" w:cs="Arial-BoldMT"/>
          <w:b/>
          <w:sz w:val="16"/>
          <w:szCs w:val="16"/>
        </w:rPr>
      </w:pPr>
      <w:r w:rsidRPr="00710C80">
        <w:rPr>
          <w:rFonts w:ascii="Helvetica" w:hAnsi="Helvetica" w:cs="ArialMT"/>
          <w:sz w:val="16"/>
          <w:szCs w:val="16"/>
        </w:rPr>
        <w:t xml:space="preserve">Le prospectus, les rapports annuels et les derniers documents périodiques, ainsi que toutes autres informations pratiques et notamment où trouver le tout dernier prix des parts sont disponibles sur notre site internet </w:t>
      </w:r>
      <w:hyperlink r:id="rId11" w:history="1">
        <w:r w:rsidRPr="00710C80">
          <w:rPr>
            <w:rStyle w:val="Hyperlink"/>
            <w:rFonts w:ascii="Helvetica" w:hAnsi="Helvetica" w:cs="ArialMT"/>
            <w:sz w:val="16"/>
            <w:szCs w:val="16"/>
          </w:rPr>
          <w:t>www.quadrillecapital.com</w:t>
        </w:r>
      </w:hyperlink>
      <w:r w:rsidRPr="00710C80">
        <w:rPr>
          <w:rFonts w:ascii="Helvetica" w:hAnsi="Helvetica" w:cs="ArialMT"/>
          <w:sz w:val="16"/>
          <w:szCs w:val="16"/>
        </w:rPr>
        <w:t xml:space="preserve"> ou sur simple demande écrite, gratuitement, à : </w:t>
      </w:r>
      <w:r w:rsidRPr="00710C80">
        <w:rPr>
          <w:rFonts w:ascii="Helvetica" w:hAnsi="Helvetica" w:cs="Arial"/>
          <w:bCs/>
          <w:sz w:val="16"/>
          <w:szCs w:val="16"/>
        </w:rPr>
        <w:t>Quadrille Capital- 16, place de la Madeleine - 75008 – Paris</w:t>
      </w:r>
    </w:p>
    <w:p w14:paraId="198C5FEA" w14:textId="77777777" w:rsidR="00523115" w:rsidRDefault="00523115" w:rsidP="001E668E">
      <w:pPr>
        <w:autoSpaceDE w:val="0"/>
        <w:autoSpaceDN w:val="0"/>
        <w:adjustRightInd w:val="0"/>
        <w:spacing w:after="0" w:line="240" w:lineRule="auto"/>
        <w:jc w:val="both"/>
        <w:rPr>
          <w:rFonts w:ascii="Helvetica" w:hAnsi="Helvetica" w:cs="ArialMT"/>
          <w:sz w:val="16"/>
          <w:szCs w:val="16"/>
        </w:rPr>
        <w:sectPr w:rsidR="00523115" w:rsidSect="00263DCB">
          <w:pgSz w:w="11905" w:h="16837"/>
          <w:pgMar w:top="951" w:right="205" w:bottom="709" w:left="1080" w:header="403" w:footer="403" w:gutter="0"/>
          <w:cols w:num="2" w:space="900"/>
          <w:noEndnote/>
          <w:titlePg/>
          <w:docGrid w:linePitch="299"/>
        </w:sectPr>
      </w:pPr>
    </w:p>
    <w:p w14:paraId="562628AA" w14:textId="77777777" w:rsidR="00263DCB" w:rsidRDefault="00263DCB"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p>
    <w:p w14:paraId="6CA6FF5E" w14:textId="5A6E57AB" w:rsidR="00E81FFF" w:rsidRPr="008604B0" w:rsidRDefault="00B070A4"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Quels sont les risques que cela pourrait me rapporter ?</w:t>
      </w:r>
    </w:p>
    <w:p w14:paraId="6538D3D8" w14:textId="7CCAA11F" w:rsidR="00E81FFF" w:rsidRPr="00C86356" w:rsidRDefault="00E81FFF" w:rsidP="00BA5489">
      <w:pPr>
        <w:autoSpaceDE w:val="0"/>
        <w:autoSpaceDN w:val="0"/>
        <w:adjustRightInd w:val="0"/>
        <w:spacing w:after="0" w:line="240" w:lineRule="auto"/>
        <w:ind w:left="-810"/>
        <w:jc w:val="both"/>
        <w:rPr>
          <w:rFonts w:ascii="Helvetica" w:hAnsi="Helvetica" w:cs="ArialMT"/>
          <w:sz w:val="16"/>
          <w:szCs w:val="16"/>
        </w:rPr>
      </w:pPr>
    </w:p>
    <w:p w14:paraId="22794398" w14:textId="20601FA3" w:rsidR="00A521AE" w:rsidRPr="008604B0" w:rsidRDefault="00A521AE" w:rsidP="00BA5489">
      <w:pPr>
        <w:autoSpaceDE w:val="0"/>
        <w:autoSpaceDN w:val="0"/>
        <w:adjustRightInd w:val="0"/>
        <w:spacing w:after="0" w:line="240" w:lineRule="auto"/>
        <w:ind w:left="-810"/>
        <w:jc w:val="both"/>
        <w:rPr>
          <w:rFonts w:ascii="Helvetica" w:hAnsi="Helvetica" w:cs="Helvetica"/>
          <w:b/>
          <w:bCs/>
          <w:color w:val="1F497D" w:themeColor="text2"/>
          <w:sz w:val="16"/>
          <w:szCs w:val="16"/>
        </w:rPr>
      </w:pPr>
      <w:r w:rsidRPr="008604B0">
        <w:rPr>
          <w:rFonts w:ascii="Helvetica" w:hAnsi="Helvetica" w:cs="ArialMT"/>
          <w:b/>
          <w:bCs/>
          <w:color w:val="1F497D" w:themeColor="text2"/>
          <w:sz w:val="16"/>
          <w:szCs w:val="16"/>
        </w:rPr>
        <w:t>Indicateur</w:t>
      </w:r>
      <w:r w:rsidRPr="008604B0">
        <w:rPr>
          <w:rFonts w:ascii="Helvetica" w:hAnsi="Helvetica" w:cs="Helvetica"/>
          <w:b/>
          <w:bCs/>
          <w:color w:val="1F497D" w:themeColor="text2"/>
          <w:spacing w:val="-11"/>
          <w:sz w:val="16"/>
          <w:szCs w:val="16"/>
        </w:rPr>
        <w:t xml:space="preserve"> </w:t>
      </w:r>
      <w:r w:rsidRPr="008604B0">
        <w:rPr>
          <w:rFonts w:ascii="Helvetica" w:hAnsi="Helvetica" w:cs="Helvetica"/>
          <w:b/>
          <w:bCs/>
          <w:color w:val="1F497D" w:themeColor="text2"/>
          <w:sz w:val="16"/>
          <w:szCs w:val="16"/>
        </w:rPr>
        <w:t>de</w:t>
      </w:r>
      <w:r w:rsidRPr="008604B0">
        <w:rPr>
          <w:rFonts w:ascii="Helvetica" w:hAnsi="Helvetica" w:cs="Helvetica"/>
          <w:b/>
          <w:bCs/>
          <w:color w:val="1F497D" w:themeColor="text2"/>
          <w:spacing w:val="-11"/>
          <w:sz w:val="16"/>
          <w:szCs w:val="16"/>
        </w:rPr>
        <w:t xml:space="preserve"> </w:t>
      </w:r>
      <w:r w:rsidRPr="008604B0">
        <w:rPr>
          <w:rFonts w:ascii="Helvetica" w:hAnsi="Helvetica" w:cs="Helvetica"/>
          <w:b/>
          <w:bCs/>
          <w:color w:val="1F497D" w:themeColor="text2"/>
          <w:spacing w:val="-2"/>
          <w:sz w:val="16"/>
          <w:szCs w:val="16"/>
        </w:rPr>
        <w:t>risque</w:t>
      </w:r>
    </w:p>
    <w:p w14:paraId="405FF37C" w14:textId="3C0CA554" w:rsidR="001E5FD9" w:rsidRPr="00A71DAE" w:rsidRDefault="001E5FD9" w:rsidP="00BA5489">
      <w:pPr>
        <w:autoSpaceDE w:val="0"/>
        <w:autoSpaceDN w:val="0"/>
        <w:adjustRightInd w:val="0"/>
        <w:spacing w:after="0" w:line="240" w:lineRule="auto"/>
        <w:ind w:left="-810"/>
        <w:jc w:val="both"/>
        <w:rPr>
          <w:rFonts w:ascii="Helvetica" w:hAnsi="Helvetica" w:cs="ArialMT"/>
          <w:sz w:val="12"/>
          <w:szCs w:val="12"/>
        </w:rPr>
      </w:pPr>
    </w:p>
    <w:p w14:paraId="1FE2761C" w14:textId="77777777" w:rsidR="00D355FD" w:rsidRDefault="00D355FD" w:rsidP="00BA5489">
      <w:pPr>
        <w:autoSpaceDE w:val="0"/>
        <w:autoSpaceDN w:val="0"/>
        <w:adjustRightInd w:val="0"/>
        <w:spacing w:after="0" w:line="240" w:lineRule="auto"/>
        <w:ind w:left="-810"/>
        <w:jc w:val="both"/>
        <w:rPr>
          <w:rFonts w:ascii="Helvetica" w:hAnsi="Helvetica" w:cs="Arial"/>
          <w:bCs/>
          <w:sz w:val="16"/>
          <w:szCs w:val="16"/>
        </w:rPr>
        <w:sectPr w:rsidR="00D355FD" w:rsidSect="00DC20FD">
          <w:type w:val="continuous"/>
          <w:pgSz w:w="11905" w:h="16837"/>
          <w:pgMar w:top="951" w:right="205" w:bottom="709" w:left="1080" w:header="403" w:footer="403" w:gutter="0"/>
          <w:cols w:space="720"/>
          <w:noEndnote/>
          <w:titlePg/>
          <w:docGrid w:linePitch="299"/>
        </w:sectPr>
      </w:pPr>
    </w:p>
    <w:p w14:paraId="4C2F53B8" w14:textId="55103365" w:rsidR="001E5FD9" w:rsidRDefault="00151434" w:rsidP="00C50644">
      <w:pPr>
        <w:tabs>
          <w:tab w:val="left" w:pos="3330"/>
        </w:tabs>
        <w:autoSpaceDE w:val="0"/>
        <w:autoSpaceDN w:val="0"/>
        <w:adjustRightInd w:val="0"/>
        <w:spacing w:after="0" w:line="240" w:lineRule="auto"/>
        <w:ind w:left="-810"/>
        <w:rPr>
          <w:rFonts w:ascii="Helvetica" w:hAnsi="Helvetica" w:cs="Arial"/>
          <w:bCs/>
          <w:sz w:val="16"/>
          <w:szCs w:val="16"/>
        </w:rPr>
      </w:pPr>
      <w:r w:rsidRPr="008604B0">
        <w:rPr>
          <w:rFonts w:ascii="Helvetica" w:hAnsi="Helvetica" w:cs="Arial"/>
          <w:bCs/>
          <w:sz w:val="16"/>
          <w:szCs w:val="16"/>
        </w:rPr>
        <w:t>Risque le plus faible</w:t>
      </w:r>
      <w:r>
        <w:rPr>
          <w:rFonts w:ascii="Helvetica" w:hAnsi="Helvetica" w:cs="Arial"/>
          <w:bCs/>
          <w:sz w:val="16"/>
          <w:szCs w:val="16"/>
        </w:rPr>
        <w:tab/>
      </w:r>
      <w:r w:rsidR="00C50644">
        <w:rPr>
          <w:rFonts w:ascii="Helvetica" w:hAnsi="Helvetica" w:cs="Arial"/>
          <w:bCs/>
          <w:sz w:val="16"/>
          <w:szCs w:val="16"/>
        </w:rPr>
        <w:t>R</w:t>
      </w:r>
      <w:r w:rsidRPr="008604B0">
        <w:rPr>
          <w:rFonts w:ascii="Helvetica" w:hAnsi="Helvetica" w:cs="Arial"/>
          <w:bCs/>
          <w:sz w:val="16"/>
          <w:szCs w:val="16"/>
        </w:rPr>
        <w:t>isque le plus élevé</w:t>
      </w:r>
    </w:p>
    <w:tbl>
      <w:tblPr>
        <w:tblStyle w:val="TableGrid"/>
        <w:tblW w:w="0" w:type="auto"/>
        <w:tblInd w:w="-810" w:type="dxa"/>
        <w:tblLook w:val="04A0" w:firstRow="1" w:lastRow="0" w:firstColumn="1" w:lastColumn="0" w:noHBand="0" w:noVBand="1"/>
      </w:tblPr>
      <w:tblGrid>
        <w:gridCol w:w="795"/>
        <w:gridCol w:w="795"/>
        <w:gridCol w:w="796"/>
        <w:gridCol w:w="796"/>
        <w:gridCol w:w="796"/>
        <w:gridCol w:w="796"/>
        <w:gridCol w:w="796"/>
      </w:tblGrid>
      <w:tr w:rsidR="00151434" w14:paraId="4A80D089" w14:textId="77777777" w:rsidTr="008F120F">
        <w:tc>
          <w:tcPr>
            <w:tcW w:w="795" w:type="dxa"/>
          </w:tcPr>
          <w:p w14:paraId="30F69B05"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4056D6C7" w14:textId="08EC1F30" w:rsidR="00151434" w:rsidRPr="00151434" w:rsidRDefault="00151434" w:rsidP="00151434">
            <w:pPr>
              <w:autoSpaceDE w:val="0"/>
              <w:autoSpaceDN w:val="0"/>
              <w:adjustRightInd w:val="0"/>
              <w:jc w:val="center"/>
              <w:rPr>
                <w:rFonts w:ascii="Helvetica" w:hAnsi="Helvetica" w:cs="ArialMT"/>
                <w:b/>
                <w:bCs/>
                <w:color w:val="A6A6A6" w:themeColor="background1" w:themeShade="A6"/>
                <w:sz w:val="16"/>
                <w:szCs w:val="16"/>
              </w:rPr>
            </w:pPr>
            <w:r w:rsidRPr="00151434">
              <w:rPr>
                <w:rFonts w:ascii="Helvetica" w:hAnsi="Helvetica" w:cs="ArialMT"/>
                <w:b/>
                <w:bCs/>
                <w:color w:val="A6A6A6" w:themeColor="background1" w:themeShade="A6"/>
                <w:sz w:val="16"/>
                <w:szCs w:val="16"/>
              </w:rPr>
              <w:t>1</w:t>
            </w:r>
          </w:p>
          <w:p w14:paraId="3126B452" w14:textId="4ACCE193"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c>
          <w:tcPr>
            <w:tcW w:w="795" w:type="dxa"/>
          </w:tcPr>
          <w:p w14:paraId="192BBF44"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3E5555DE" w14:textId="65752EF4" w:rsidR="00151434" w:rsidRPr="00151434" w:rsidRDefault="00151434" w:rsidP="00151434">
            <w:pPr>
              <w:autoSpaceDE w:val="0"/>
              <w:autoSpaceDN w:val="0"/>
              <w:adjustRightInd w:val="0"/>
              <w:jc w:val="center"/>
              <w:rPr>
                <w:rFonts w:ascii="Helvetica" w:hAnsi="Helvetica" w:cs="ArialMT"/>
                <w:b/>
                <w:bCs/>
                <w:color w:val="A6A6A6" w:themeColor="background1" w:themeShade="A6"/>
                <w:sz w:val="16"/>
                <w:szCs w:val="16"/>
              </w:rPr>
            </w:pPr>
            <w:r w:rsidRPr="00151434">
              <w:rPr>
                <w:rFonts w:ascii="Helvetica" w:hAnsi="Helvetica" w:cs="ArialMT"/>
                <w:b/>
                <w:bCs/>
                <w:color w:val="A6A6A6" w:themeColor="background1" w:themeShade="A6"/>
                <w:sz w:val="16"/>
                <w:szCs w:val="16"/>
              </w:rPr>
              <w:t>2</w:t>
            </w:r>
          </w:p>
          <w:p w14:paraId="34E0750C" w14:textId="22AF4973"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c>
          <w:tcPr>
            <w:tcW w:w="796" w:type="dxa"/>
          </w:tcPr>
          <w:p w14:paraId="6ACBE808"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2B917890" w14:textId="5B974186" w:rsidR="00151434" w:rsidRPr="00151434" w:rsidRDefault="00151434" w:rsidP="00151434">
            <w:pPr>
              <w:autoSpaceDE w:val="0"/>
              <w:autoSpaceDN w:val="0"/>
              <w:adjustRightInd w:val="0"/>
              <w:jc w:val="center"/>
              <w:rPr>
                <w:rFonts w:ascii="Helvetica" w:hAnsi="Helvetica" w:cs="ArialMT"/>
                <w:b/>
                <w:bCs/>
                <w:color w:val="A6A6A6" w:themeColor="background1" w:themeShade="A6"/>
                <w:sz w:val="16"/>
                <w:szCs w:val="16"/>
              </w:rPr>
            </w:pPr>
            <w:r w:rsidRPr="00151434">
              <w:rPr>
                <w:rFonts w:ascii="Helvetica" w:hAnsi="Helvetica" w:cs="ArialMT"/>
                <w:b/>
                <w:bCs/>
                <w:color w:val="A6A6A6" w:themeColor="background1" w:themeShade="A6"/>
                <w:sz w:val="16"/>
                <w:szCs w:val="16"/>
              </w:rPr>
              <w:t>3</w:t>
            </w:r>
          </w:p>
          <w:p w14:paraId="21F71D3C" w14:textId="055F8BF9"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c>
          <w:tcPr>
            <w:tcW w:w="796" w:type="dxa"/>
          </w:tcPr>
          <w:p w14:paraId="06CAF752"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337EB173" w14:textId="54B98752" w:rsidR="00151434" w:rsidRPr="00151434" w:rsidRDefault="00151434" w:rsidP="00151434">
            <w:pPr>
              <w:autoSpaceDE w:val="0"/>
              <w:autoSpaceDN w:val="0"/>
              <w:adjustRightInd w:val="0"/>
              <w:jc w:val="center"/>
              <w:rPr>
                <w:rFonts w:ascii="Helvetica" w:hAnsi="Helvetica" w:cs="ArialMT"/>
                <w:b/>
                <w:bCs/>
                <w:color w:val="A6A6A6" w:themeColor="background1" w:themeShade="A6"/>
                <w:sz w:val="16"/>
                <w:szCs w:val="16"/>
              </w:rPr>
            </w:pPr>
            <w:r w:rsidRPr="00151434">
              <w:rPr>
                <w:rFonts w:ascii="Helvetica" w:hAnsi="Helvetica" w:cs="ArialMT"/>
                <w:b/>
                <w:bCs/>
                <w:color w:val="A6A6A6" w:themeColor="background1" w:themeShade="A6"/>
                <w:sz w:val="16"/>
                <w:szCs w:val="16"/>
              </w:rPr>
              <w:t>4</w:t>
            </w:r>
          </w:p>
          <w:p w14:paraId="20295267" w14:textId="61598682"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c>
          <w:tcPr>
            <w:tcW w:w="796" w:type="dxa"/>
            <w:shd w:val="clear" w:color="auto" w:fill="1F497D" w:themeFill="text2"/>
          </w:tcPr>
          <w:p w14:paraId="1E6A4625"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6E11CA36" w14:textId="6C89463A" w:rsidR="00151434" w:rsidRPr="008F120F" w:rsidRDefault="00151434" w:rsidP="00151434">
            <w:pPr>
              <w:autoSpaceDE w:val="0"/>
              <w:autoSpaceDN w:val="0"/>
              <w:adjustRightInd w:val="0"/>
              <w:jc w:val="center"/>
              <w:rPr>
                <w:rFonts w:ascii="Helvetica" w:hAnsi="Helvetica" w:cs="ArialMT"/>
                <w:b/>
                <w:bCs/>
                <w:color w:val="FFFFFF" w:themeColor="background1"/>
                <w:sz w:val="16"/>
                <w:szCs w:val="16"/>
              </w:rPr>
            </w:pPr>
            <w:r w:rsidRPr="008F120F">
              <w:rPr>
                <w:rFonts w:ascii="Helvetica" w:hAnsi="Helvetica" w:cs="ArialMT"/>
                <w:b/>
                <w:bCs/>
                <w:color w:val="FFFFFF" w:themeColor="background1"/>
                <w:sz w:val="16"/>
                <w:szCs w:val="16"/>
              </w:rPr>
              <w:t>5</w:t>
            </w:r>
          </w:p>
          <w:p w14:paraId="6C4AF775" w14:textId="47D1C4BD"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c>
          <w:tcPr>
            <w:tcW w:w="796" w:type="dxa"/>
            <w:tcBorders>
              <w:top w:val="single" w:sz="4" w:space="0" w:color="auto"/>
              <w:bottom w:val="single" w:sz="4" w:space="0" w:color="auto"/>
              <w:right w:val="single" w:sz="4" w:space="0" w:color="auto"/>
            </w:tcBorders>
          </w:tcPr>
          <w:p w14:paraId="3B87727A"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563F8BB5" w14:textId="69581F6C" w:rsidR="00151434" w:rsidRPr="00151434" w:rsidRDefault="00151434" w:rsidP="00151434">
            <w:pPr>
              <w:autoSpaceDE w:val="0"/>
              <w:autoSpaceDN w:val="0"/>
              <w:adjustRightInd w:val="0"/>
              <w:jc w:val="center"/>
              <w:rPr>
                <w:rFonts w:ascii="Helvetica" w:hAnsi="Helvetica" w:cs="ArialMT"/>
                <w:b/>
                <w:bCs/>
                <w:color w:val="A6A6A6" w:themeColor="background1" w:themeShade="A6"/>
                <w:sz w:val="16"/>
                <w:szCs w:val="16"/>
              </w:rPr>
            </w:pPr>
            <w:r w:rsidRPr="00151434">
              <w:rPr>
                <w:rFonts w:ascii="Helvetica" w:hAnsi="Helvetica" w:cs="ArialMT"/>
                <w:b/>
                <w:bCs/>
                <w:color w:val="A6A6A6" w:themeColor="background1" w:themeShade="A6"/>
                <w:sz w:val="16"/>
                <w:szCs w:val="16"/>
              </w:rPr>
              <w:t>6</w:t>
            </w:r>
          </w:p>
          <w:p w14:paraId="13042CA2" w14:textId="132C1E5D"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c>
          <w:tcPr>
            <w:tcW w:w="796" w:type="dxa"/>
            <w:tcBorders>
              <w:top w:val="single" w:sz="4" w:space="0" w:color="auto"/>
              <w:left w:val="single" w:sz="4" w:space="0" w:color="auto"/>
              <w:bottom w:val="single" w:sz="4" w:space="0" w:color="auto"/>
              <w:right w:val="single" w:sz="4" w:space="0" w:color="auto"/>
            </w:tcBorders>
          </w:tcPr>
          <w:p w14:paraId="5EDF9357" w14:textId="77777777"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p w14:paraId="422462B9" w14:textId="74BA51EA" w:rsidR="00151434" w:rsidRPr="00151434" w:rsidRDefault="00151434" w:rsidP="00151434">
            <w:pPr>
              <w:autoSpaceDE w:val="0"/>
              <w:autoSpaceDN w:val="0"/>
              <w:adjustRightInd w:val="0"/>
              <w:jc w:val="center"/>
              <w:rPr>
                <w:rFonts w:ascii="Helvetica" w:hAnsi="Helvetica" w:cs="ArialMT"/>
                <w:b/>
                <w:bCs/>
                <w:color w:val="A6A6A6" w:themeColor="background1" w:themeShade="A6"/>
                <w:sz w:val="16"/>
                <w:szCs w:val="16"/>
              </w:rPr>
            </w:pPr>
            <w:r w:rsidRPr="00151434">
              <w:rPr>
                <w:rFonts w:ascii="Helvetica" w:hAnsi="Helvetica" w:cs="ArialMT"/>
                <w:b/>
                <w:bCs/>
                <w:color w:val="A6A6A6" w:themeColor="background1" w:themeShade="A6"/>
                <w:sz w:val="16"/>
                <w:szCs w:val="16"/>
              </w:rPr>
              <w:t>7</w:t>
            </w:r>
          </w:p>
          <w:p w14:paraId="2230F056" w14:textId="392A0298" w:rsidR="00151434" w:rsidRPr="00151434" w:rsidRDefault="00151434" w:rsidP="00151434">
            <w:pPr>
              <w:autoSpaceDE w:val="0"/>
              <w:autoSpaceDN w:val="0"/>
              <w:adjustRightInd w:val="0"/>
              <w:jc w:val="center"/>
              <w:rPr>
                <w:rFonts w:ascii="Helvetica" w:hAnsi="Helvetica" w:cs="ArialMT"/>
                <w:b/>
                <w:bCs/>
                <w:color w:val="A6A6A6" w:themeColor="background1" w:themeShade="A6"/>
                <w:sz w:val="8"/>
                <w:szCs w:val="8"/>
              </w:rPr>
            </w:pPr>
          </w:p>
        </w:tc>
      </w:tr>
    </w:tbl>
    <w:p w14:paraId="1E812975"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39613D79" w14:textId="77777777" w:rsidR="008F120F" w:rsidRDefault="00A521AE" w:rsidP="00BA5489">
      <w:pPr>
        <w:autoSpaceDE w:val="0"/>
        <w:autoSpaceDN w:val="0"/>
        <w:adjustRightInd w:val="0"/>
        <w:spacing w:after="0" w:line="240" w:lineRule="auto"/>
        <w:ind w:left="-810"/>
        <w:jc w:val="both"/>
        <w:rPr>
          <w:rFonts w:ascii="Helvetica" w:hAnsi="Helvetica" w:cs="ArialMT"/>
          <w:sz w:val="16"/>
          <w:szCs w:val="16"/>
        </w:rPr>
      </w:pPr>
      <w:r w:rsidRPr="008604B0">
        <w:rPr>
          <w:rFonts w:ascii="Helvetica" w:hAnsi="Helvetica" w:cs="ArialMT"/>
          <w:sz w:val="16"/>
          <w:szCs w:val="16"/>
        </w:rPr>
        <w:t xml:space="preserve">L’indicateur de risque part de l’hypothèse que vous conservez les parts pendant 5 années. </w:t>
      </w:r>
    </w:p>
    <w:p w14:paraId="2347303F" w14:textId="7C734A4F" w:rsidR="00A521AE" w:rsidRPr="008F120F" w:rsidRDefault="008F120F" w:rsidP="008F120F">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autoSpaceDE w:val="0"/>
        <w:autoSpaceDN w:val="0"/>
        <w:adjustRightInd w:val="0"/>
        <w:spacing w:after="0" w:line="240" w:lineRule="auto"/>
        <w:ind w:left="-810"/>
        <w:jc w:val="both"/>
        <w:rPr>
          <w:rFonts w:ascii="Helvetica" w:hAnsi="Helvetica" w:cs="ArialMT"/>
          <w:color w:val="FFFFFF" w:themeColor="background1"/>
          <w:sz w:val="16"/>
          <w:szCs w:val="16"/>
        </w:rPr>
      </w:pPr>
      <w:r w:rsidRPr="008F120F">
        <w:rPr>
          <w:rFonts w:ascii="Helvetica" w:hAnsi="Helvetica" w:cs="ArialMT"/>
          <w:b/>
          <w:bCs/>
          <w:color w:val="FFFFFF" w:themeColor="background1"/>
          <w:sz w:val="16"/>
          <w:szCs w:val="16"/>
        </w:rPr>
        <w:t>Avertissement :</w:t>
      </w:r>
      <w:r w:rsidRPr="008F120F">
        <w:rPr>
          <w:rFonts w:ascii="Helvetica" w:hAnsi="Helvetica" w:cs="ArialMT"/>
          <w:color w:val="FFFFFF" w:themeColor="background1"/>
          <w:sz w:val="16"/>
          <w:szCs w:val="16"/>
        </w:rPr>
        <w:t xml:space="preserve"> </w:t>
      </w:r>
      <w:r w:rsidR="00A521AE" w:rsidRPr="008F120F">
        <w:rPr>
          <w:rFonts w:ascii="Helvetica" w:hAnsi="Helvetica" w:cs="ArialMT"/>
          <w:color w:val="FFFFFF" w:themeColor="background1"/>
          <w:sz w:val="16"/>
          <w:szCs w:val="16"/>
        </w:rPr>
        <w:t>Le risque réel peut être très différent si vous optez pour une sortie avant échéance, et vous pourriez obtenir moins en retour.</w:t>
      </w:r>
    </w:p>
    <w:p w14:paraId="2DE304FC"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04941F3F" w14:textId="6FE7761C" w:rsidR="00A521AE" w:rsidRPr="008604B0" w:rsidRDefault="00A521AE" w:rsidP="00BA5489">
      <w:pPr>
        <w:autoSpaceDE w:val="0"/>
        <w:autoSpaceDN w:val="0"/>
        <w:adjustRightInd w:val="0"/>
        <w:spacing w:after="0" w:line="240" w:lineRule="auto"/>
        <w:ind w:left="-810"/>
        <w:jc w:val="both"/>
        <w:rPr>
          <w:rFonts w:ascii="Helvetica" w:hAnsi="Helvetica" w:cs="ArialMT"/>
          <w:sz w:val="16"/>
          <w:szCs w:val="16"/>
        </w:rPr>
      </w:pPr>
      <w:r w:rsidRPr="008604B0">
        <w:rPr>
          <w:rFonts w:ascii="Helvetica" w:hAnsi="Helvetica" w:cs="ArialMT"/>
          <w:sz w:val="16"/>
          <w:szCs w:val="16"/>
        </w:rPr>
        <w:t>L’indicateur synthétique de risque permet d’apprécier le niveau de risque de ce produit par rapport à d’autres. Il indique la probabilité que ce produit enregistre des pertes en cas de mouvements sur les marchés ou d'une impossibilité de notre part de vous payer.</w:t>
      </w:r>
    </w:p>
    <w:p w14:paraId="4D96D12A"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5D08CB92" w14:textId="77777777" w:rsidR="00AE0E53" w:rsidRDefault="00A521AE" w:rsidP="00AE0E53">
      <w:pPr>
        <w:autoSpaceDE w:val="0"/>
        <w:autoSpaceDN w:val="0"/>
        <w:adjustRightInd w:val="0"/>
        <w:spacing w:after="0" w:line="240" w:lineRule="auto"/>
        <w:ind w:left="-810"/>
        <w:jc w:val="both"/>
        <w:rPr>
          <w:rFonts w:ascii="Helvetica" w:hAnsi="Helvetica" w:cs="ArialMT"/>
          <w:sz w:val="16"/>
          <w:szCs w:val="16"/>
        </w:rPr>
      </w:pPr>
      <w:r w:rsidRPr="008604B0">
        <w:rPr>
          <w:rFonts w:ascii="Helvetica" w:hAnsi="Helvetica" w:cs="ArialMT"/>
          <w:sz w:val="16"/>
          <w:szCs w:val="16"/>
        </w:rPr>
        <w:t xml:space="preserve">Nous avons classé le produit dans la classe de risque 5 sur 7, qui est une classe </w:t>
      </w:r>
      <w:r w:rsidR="00AE0E53">
        <w:rPr>
          <w:rFonts w:ascii="Helvetica" w:hAnsi="Helvetica" w:cs="ArialMT"/>
          <w:sz w:val="16"/>
          <w:szCs w:val="16"/>
        </w:rPr>
        <w:t>d</w:t>
      </w:r>
      <w:r w:rsidRPr="008604B0">
        <w:rPr>
          <w:rFonts w:ascii="Helvetica" w:hAnsi="Helvetica" w:cs="ArialMT"/>
          <w:sz w:val="16"/>
          <w:szCs w:val="16"/>
        </w:rPr>
        <w:t>e risque entre moyenne et élevée. Autrement dit, les</w:t>
      </w:r>
      <w:r w:rsidRPr="00956ABD">
        <w:rPr>
          <w:rFonts w:ascii="Helvetica" w:hAnsi="Helvetica" w:cs="ArialMT"/>
          <w:sz w:val="16"/>
          <w:szCs w:val="16"/>
        </w:rPr>
        <w:t xml:space="preserve"> pertes potentielles liées aux futurs résultats du produit se situent à un niveau entre moyen et élevé et, si la situation venait à se détériorer sur les marchés financiers, il est possible que</w:t>
      </w:r>
      <w:r w:rsidR="004D63E3">
        <w:rPr>
          <w:rFonts w:ascii="Helvetica" w:hAnsi="Helvetica" w:cs="ArialMT"/>
          <w:sz w:val="16"/>
          <w:szCs w:val="16"/>
        </w:rPr>
        <w:t xml:space="preserve"> </w:t>
      </w:r>
      <w:r w:rsidRPr="00956ABD">
        <w:rPr>
          <w:rFonts w:ascii="Helvetica" w:hAnsi="Helvetica" w:cs="ArialMT"/>
          <w:sz w:val="16"/>
          <w:szCs w:val="16"/>
        </w:rPr>
        <w:t>notre capacité à vous payer en soit affectée.</w:t>
      </w:r>
      <w:r w:rsidR="00956ABD" w:rsidRPr="00956ABD">
        <w:rPr>
          <w:rFonts w:ascii="Helvetica" w:hAnsi="Helvetica" w:cs="ArialMT"/>
          <w:sz w:val="16"/>
          <w:szCs w:val="16"/>
        </w:rPr>
        <w:t xml:space="preserve"> </w:t>
      </w:r>
    </w:p>
    <w:p w14:paraId="04BDC938" w14:textId="2263783F" w:rsidR="00AE0E53" w:rsidRDefault="00956ABD" w:rsidP="00AE0E53">
      <w:pPr>
        <w:autoSpaceDE w:val="0"/>
        <w:autoSpaceDN w:val="0"/>
        <w:adjustRightInd w:val="0"/>
        <w:spacing w:after="0" w:line="240" w:lineRule="auto"/>
        <w:ind w:left="-540"/>
        <w:jc w:val="both"/>
        <w:rPr>
          <w:rFonts w:ascii="Helvetica" w:hAnsi="Helvetica" w:cs="ArialMT"/>
          <w:sz w:val="16"/>
          <w:szCs w:val="16"/>
        </w:rPr>
      </w:pPr>
      <w:r w:rsidRPr="00956ABD">
        <w:rPr>
          <w:rFonts w:ascii="Helvetica" w:hAnsi="Helvetica" w:cs="ArialMT"/>
          <w:sz w:val="16"/>
          <w:szCs w:val="16"/>
        </w:rPr>
        <w:t>La catégorie la plus faible ne signifie pas « sans risque ». Le capital investi ne bénéficie d'aucune garantie.</w:t>
      </w:r>
    </w:p>
    <w:p w14:paraId="49C8E157" w14:textId="22071503" w:rsidR="00956ABD" w:rsidRPr="00956ABD" w:rsidRDefault="00956ABD" w:rsidP="00AE0E53">
      <w:pPr>
        <w:autoSpaceDE w:val="0"/>
        <w:autoSpaceDN w:val="0"/>
        <w:adjustRightInd w:val="0"/>
        <w:spacing w:after="0" w:line="240" w:lineRule="auto"/>
        <w:ind w:left="-540"/>
        <w:jc w:val="both"/>
        <w:rPr>
          <w:rFonts w:ascii="Helvetica" w:hAnsi="Helvetica" w:cs="ArialMT"/>
          <w:sz w:val="16"/>
          <w:szCs w:val="16"/>
        </w:rPr>
      </w:pPr>
      <w:r w:rsidRPr="00956ABD">
        <w:rPr>
          <w:rFonts w:ascii="Helvetica" w:hAnsi="Helvetica" w:cs="ArialMT"/>
          <w:sz w:val="16"/>
          <w:szCs w:val="16"/>
        </w:rPr>
        <w:t>Les risques non suffisamment pris en compte par l'indicateur incluent notamment :</w:t>
      </w:r>
    </w:p>
    <w:p w14:paraId="47DB7C2D" w14:textId="77777777" w:rsidR="00956ABD" w:rsidRPr="00956ABD" w:rsidRDefault="00956ABD" w:rsidP="00AE0E53">
      <w:pPr>
        <w:autoSpaceDE w:val="0"/>
        <w:autoSpaceDN w:val="0"/>
        <w:adjustRightInd w:val="0"/>
        <w:spacing w:after="0" w:line="240" w:lineRule="auto"/>
        <w:ind w:left="-540"/>
        <w:jc w:val="both"/>
        <w:rPr>
          <w:rFonts w:ascii="Helvetica" w:hAnsi="Helvetica" w:cs="ArialMT"/>
          <w:sz w:val="16"/>
          <w:szCs w:val="16"/>
        </w:rPr>
      </w:pPr>
      <w:r w:rsidRPr="00956ABD">
        <w:rPr>
          <w:rFonts w:ascii="Helvetica" w:hAnsi="Helvetica" w:cs="ArialMT"/>
          <w:b/>
          <w:bCs/>
          <w:sz w:val="16"/>
          <w:szCs w:val="16"/>
        </w:rPr>
        <w:t>Risque de contrepartie :</w:t>
      </w:r>
      <w:r w:rsidRPr="00956ABD">
        <w:rPr>
          <w:rFonts w:ascii="Helvetica" w:hAnsi="Helvetica" w:cs="ArialMT"/>
          <w:sz w:val="16"/>
          <w:szCs w:val="16"/>
        </w:rPr>
        <w:t xml:space="preserve"> il représente le risque de défaillance d’un intervenant de marché l’empêchant d’honorer ses engagements vis-à-vis de votre portefeuille.</w:t>
      </w:r>
    </w:p>
    <w:p w14:paraId="4A37A396" w14:textId="5CA0FC04" w:rsidR="00956ABD" w:rsidRPr="00956ABD" w:rsidRDefault="00956ABD" w:rsidP="00AE0E53">
      <w:pPr>
        <w:autoSpaceDE w:val="0"/>
        <w:autoSpaceDN w:val="0"/>
        <w:adjustRightInd w:val="0"/>
        <w:spacing w:after="0" w:line="240" w:lineRule="auto"/>
        <w:ind w:left="-540"/>
        <w:jc w:val="both"/>
        <w:rPr>
          <w:rFonts w:ascii="Helvetica" w:hAnsi="Helvetica" w:cs="ArialMT"/>
          <w:sz w:val="16"/>
          <w:szCs w:val="16"/>
        </w:rPr>
      </w:pPr>
      <w:r w:rsidRPr="00956ABD">
        <w:rPr>
          <w:rFonts w:ascii="Helvetica" w:hAnsi="Helvetica" w:cs="ArialMT"/>
          <w:b/>
          <w:bCs/>
          <w:sz w:val="16"/>
          <w:szCs w:val="16"/>
        </w:rPr>
        <w:t>Risque lié à l’impact des techniques telles que les produits dérivés :</w:t>
      </w:r>
      <w:r w:rsidRPr="00956ABD">
        <w:rPr>
          <w:rFonts w:ascii="Helvetica" w:hAnsi="Helvetica" w:cs="ArialMT"/>
          <w:sz w:val="16"/>
          <w:szCs w:val="16"/>
        </w:rPr>
        <w:t xml:space="preserve"> L’utilisation des produits dérivés peut entraîner à la baisse sur de courtes périodes des variations sensibles de la valeur liquidative en cas d’exposition dans un sens contraire à l’évolution des marchés.</w:t>
      </w:r>
    </w:p>
    <w:p w14:paraId="538B9825" w14:textId="26F10464" w:rsidR="00956ABD" w:rsidRPr="00956ABD" w:rsidRDefault="00956ABD" w:rsidP="00AE0E53">
      <w:pPr>
        <w:autoSpaceDE w:val="0"/>
        <w:autoSpaceDN w:val="0"/>
        <w:adjustRightInd w:val="0"/>
        <w:spacing w:after="0" w:line="240" w:lineRule="auto"/>
        <w:ind w:left="-540"/>
        <w:jc w:val="both"/>
        <w:rPr>
          <w:rFonts w:ascii="Helvetica" w:hAnsi="Helvetica" w:cs="ArialMT"/>
          <w:sz w:val="16"/>
          <w:szCs w:val="16"/>
        </w:rPr>
      </w:pPr>
      <w:r w:rsidRPr="00956ABD">
        <w:rPr>
          <w:rFonts w:ascii="Helvetica" w:hAnsi="Helvetica" w:cs="ArialMT"/>
          <w:b/>
          <w:bCs/>
          <w:sz w:val="16"/>
          <w:szCs w:val="16"/>
        </w:rPr>
        <w:t>Risque de liquidité :</w:t>
      </w:r>
      <w:r w:rsidRPr="00956ABD">
        <w:rPr>
          <w:rFonts w:ascii="Helvetica" w:hAnsi="Helvetica" w:cs="ArialMT"/>
          <w:sz w:val="16"/>
          <w:szCs w:val="16"/>
        </w:rPr>
        <w:t xml:space="preserve"> il représente la baisse de prix que le Fonds devrait potentiellement accepter pour pouvoir vendre certains actifs sur lesquels il existe une demande insuffisante sur le marché.</w:t>
      </w:r>
    </w:p>
    <w:p w14:paraId="3AA53130" w14:textId="1C74F737" w:rsidR="00AE0E53" w:rsidRDefault="00956ABD" w:rsidP="00AE0E53">
      <w:pPr>
        <w:autoSpaceDE w:val="0"/>
        <w:autoSpaceDN w:val="0"/>
        <w:adjustRightInd w:val="0"/>
        <w:spacing w:after="0" w:line="240" w:lineRule="auto"/>
        <w:ind w:left="-540"/>
        <w:jc w:val="both"/>
        <w:rPr>
          <w:rFonts w:ascii="Helvetica" w:hAnsi="Helvetica" w:cs="ArialMT"/>
          <w:sz w:val="16"/>
          <w:szCs w:val="16"/>
        </w:rPr>
      </w:pPr>
      <w:r w:rsidRPr="00956ABD">
        <w:rPr>
          <w:rFonts w:ascii="Helvetica" w:hAnsi="Helvetica" w:cs="ArialMT"/>
          <w:sz w:val="16"/>
          <w:szCs w:val="16"/>
        </w:rPr>
        <w:t>Les autres risques sont mentionnés dans le prospectus. La survenance de l’un de ces risques peut avoir un impact significatif sur la valeur liquidative de votre fonds</w:t>
      </w:r>
      <w:r>
        <w:rPr>
          <w:rFonts w:ascii="Helvetica" w:hAnsi="Helvetica" w:cs="ArialMT"/>
          <w:sz w:val="16"/>
          <w:szCs w:val="16"/>
        </w:rPr>
        <w:t>.</w:t>
      </w:r>
    </w:p>
    <w:p w14:paraId="7A9450F4" w14:textId="77777777" w:rsidR="00AE0E53" w:rsidRDefault="00AE0E53" w:rsidP="00D671A7">
      <w:pPr>
        <w:autoSpaceDE w:val="0"/>
        <w:autoSpaceDN w:val="0"/>
        <w:adjustRightInd w:val="0"/>
        <w:spacing w:after="0" w:line="240" w:lineRule="auto"/>
        <w:ind w:left="-810"/>
        <w:jc w:val="both"/>
        <w:rPr>
          <w:rFonts w:ascii="Helvetica" w:hAnsi="Helvetica" w:cs="ArialMT"/>
          <w:sz w:val="16"/>
          <w:szCs w:val="16"/>
        </w:rPr>
      </w:pPr>
    </w:p>
    <w:p w14:paraId="3780F9FA" w14:textId="6E5CD640" w:rsidR="00AE0E53" w:rsidRDefault="00AE0E53" w:rsidP="00D671A7">
      <w:pPr>
        <w:autoSpaceDE w:val="0"/>
        <w:autoSpaceDN w:val="0"/>
        <w:adjustRightInd w:val="0"/>
        <w:spacing w:after="0" w:line="240" w:lineRule="auto"/>
        <w:ind w:left="-810"/>
        <w:jc w:val="both"/>
        <w:rPr>
          <w:rFonts w:ascii="Helvetica" w:hAnsi="Helvetica" w:cs="ArialMT"/>
          <w:sz w:val="16"/>
          <w:szCs w:val="16"/>
          <w:highlight w:val="yellow"/>
        </w:rPr>
        <w:sectPr w:rsidR="00AE0E53" w:rsidSect="00AE0E53">
          <w:type w:val="continuous"/>
          <w:pgSz w:w="11905" w:h="16837"/>
          <w:pgMar w:top="951" w:right="205" w:bottom="709" w:left="1080" w:header="403" w:footer="403" w:gutter="0"/>
          <w:cols w:num="2" w:space="1080"/>
          <w:noEndnote/>
          <w:titlePg/>
          <w:docGrid w:linePitch="299"/>
        </w:sectPr>
      </w:pPr>
    </w:p>
    <w:p w14:paraId="22C28D3D" w14:textId="77777777" w:rsidR="0069504A" w:rsidRDefault="0069504A" w:rsidP="00BA5489">
      <w:pPr>
        <w:autoSpaceDE w:val="0"/>
        <w:autoSpaceDN w:val="0"/>
        <w:adjustRightInd w:val="0"/>
        <w:spacing w:after="0" w:line="240" w:lineRule="auto"/>
        <w:ind w:left="-810"/>
        <w:jc w:val="both"/>
        <w:rPr>
          <w:rFonts w:ascii="Helvetica" w:hAnsi="Helvetica" w:cs="ArialMT"/>
          <w:sz w:val="16"/>
          <w:szCs w:val="16"/>
          <w:highlight w:val="yellow"/>
        </w:rPr>
      </w:pPr>
    </w:p>
    <w:p w14:paraId="5486F037" w14:textId="46E248EE" w:rsidR="00F81317" w:rsidRPr="008604B0" w:rsidRDefault="00F81317" w:rsidP="00F81317">
      <w:pPr>
        <w:autoSpaceDE w:val="0"/>
        <w:autoSpaceDN w:val="0"/>
        <w:adjustRightInd w:val="0"/>
        <w:spacing w:after="0" w:line="240" w:lineRule="auto"/>
        <w:ind w:left="-810"/>
        <w:jc w:val="both"/>
        <w:rPr>
          <w:rFonts w:ascii="Helvetica" w:hAnsi="Helvetica" w:cs="Helvetica"/>
          <w:b/>
          <w:bCs/>
          <w:color w:val="1F497D" w:themeColor="text2"/>
          <w:sz w:val="16"/>
          <w:szCs w:val="16"/>
        </w:rPr>
      </w:pPr>
      <w:r>
        <w:rPr>
          <w:rFonts w:ascii="Helvetica" w:hAnsi="Helvetica" w:cs="ArialMT"/>
          <w:b/>
          <w:bCs/>
          <w:color w:val="1F497D" w:themeColor="text2"/>
          <w:sz w:val="16"/>
          <w:szCs w:val="16"/>
        </w:rPr>
        <w:t>Scénarios de performance (montants exprimés en Euros)</w:t>
      </w:r>
    </w:p>
    <w:p w14:paraId="79431162"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478052DE" w14:textId="77777777" w:rsidR="00F81317" w:rsidRPr="00F81317" w:rsidRDefault="00F81317" w:rsidP="00F81317">
      <w:pPr>
        <w:autoSpaceDE w:val="0"/>
        <w:autoSpaceDN w:val="0"/>
        <w:adjustRightInd w:val="0"/>
        <w:spacing w:after="0" w:line="240" w:lineRule="auto"/>
        <w:ind w:left="-810"/>
        <w:jc w:val="both"/>
        <w:rPr>
          <w:rFonts w:ascii="Helvetica" w:hAnsi="Helvetica" w:cs="ArialMT"/>
          <w:sz w:val="16"/>
          <w:szCs w:val="16"/>
        </w:rPr>
      </w:pPr>
      <w:r w:rsidRPr="00F81317">
        <w:rPr>
          <w:rFonts w:ascii="Helvetica" w:hAnsi="Helvetica" w:cs="ArialMT"/>
          <w:sz w:val="16"/>
          <w:szCs w:val="16"/>
        </w:rPr>
        <w:t>Les chiffres indiqués comprennent tous les coûts du produit lui-même, mais pas nécessairement tous les frais dus à votre conseiller ou distributeur. Ces chiffres ne tiennent pas compte de votre situation fiscale personnelle, qui peut également influer sur les montants que vous recevrez.</w:t>
      </w:r>
    </w:p>
    <w:p w14:paraId="61A7452A" w14:textId="77777777" w:rsidR="00A71DAE" w:rsidRPr="00A71DAE" w:rsidRDefault="00A71DAE" w:rsidP="00F81317">
      <w:pPr>
        <w:autoSpaceDE w:val="0"/>
        <w:autoSpaceDN w:val="0"/>
        <w:adjustRightInd w:val="0"/>
        <w:spacing w:after="0" w:line="240" w:lineRule="auto"/>
        <w:ind w:left="-810"/>
        <w:jc w:val="both"/>
        <w:rPr>
          <w:rFonts w:ascii="Helvetica" w:hAnsi="Helvetica" w:cs="ArialMT"/>
          <w:sz w:val="12"/>
          <w:szCs w:val="12"/>
        </w:rPr>
      </w:pPr>
    </w:p>
    <w:p w14:paraId="41C6FAE0" w14:textId="5DBE1E8F" w:rsidR="00F81317" w:rsidRPr="00F81317" w:rsidRDefault="00F81317" w:rsidP="00F81317">
      <w:pPr>
        <w:autoSpaceDE w:val="0"/>
        <w:autoSpaceDN w:val="0"/>
        <w:adjustRightInd w:val="0"/>
        <w:spacing w:after="0" w:line="240" w:lineRule="auto"/>
        <w:ind w:left="-810"/>
        <w:jc w:val="both"/>
        <w:rPr>
          <w:rFonts w:ascii="Helvetica" w:hAnsi="Helvetica" w:cs="ArialMT"/>
          <w:sz w:val="16"/>
          <w:szCs w:val="16"/>
        </w:rPr>
      </w:pPr>
      <w:r w:rsidRPr="00F81317">
        <w:rPr>
          <w:rFonts w:ascii="Helvetica" w:hAnsi="Helvetica" w:cs="ArialMT"/>
          <w:sz w:val="16"/>
          <w:szCs w:val="16"/>
        </w:rPr>
        <w:t>Ce que vous obtiendrez de ce produit dépend des performances futures du marché. L'évolution future du marché est aléatoire et ne peut être prédite avec précision.</w:t>
      </w:r>
    </w:p>
    <w:p w14:paraId="3F8371BD"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099339EC" w14:textId="691547B4" w:rsidR="00F81317" w:rsidRPr="00F81317" w:rsidRDefault="00F81317" w:rsidP="00F81317">
      <w:pPr>
        <w:autoSpaceDE w:val="0"/>
        <w:autoSpaceDN w:val="0"/>
        <w:adjustRightInd w:val="0"/>
        <w:spacing w:after="0" w:line="240" w:lineRule="auto"/>
        <w:ind w:left="-810"/>
        <w:jc w:val="both"/>
        <w:rPr>
          <w:rFonts w:ascii="Helvetica" w:hAnsi="Helvetica" w:cs="ArialMT"/>
          <w:sz w:val="16"/>
          <w:szCs w:val="16"/>
        </w:rPr>
      </w:pPr>
      <w:r w:rsidRPr="00F81317">
        <w:rPr>
          <w:rFonts w:ascii="Helvetica" w:hAnsi="Helvetica" w:cs="ArialMT"/>
          <w:sz w:val="16"/>
          <w:szCs w:val="16"/>
        </w:rPr>
        <w:t>Les scénarios défavorable, intermédiaire et favorable présentés représentent des exemples utilisant les meilleure et pire performances, ainsi que la performance moyenne du produit au cours des 10 dernières années. Les marchés pourraient évoluer très différemment à l'avenir.</w:t>
      </w:r>
      <w:r>
        <w:rPr>
          <w:rFonts w:ascii="Helvetica" w:hAnsi="Helvetica" w:cs="ArialMT"/>
          <w:sz w:val="16"/>
          <w:szCs w:val="16"/>
        </w:rPr>
        <w:t xml:space="preserve"> </w:t>
      </w:r>
      <w:r w:rsidRPr="00F81317">
        <w:rPr>
          <w:rFonts w:ascii="Helvetica" w:hAnsi="Helvetica" w:cs="ArialMT"/>
          <w:sz w:val="16"/>
          <w:szCs w:val="16"/>
        </w:rPr>
        <w:t>Le scénario de tensions montre ce que vous pourriez obtenir dans des situations de marché extrêmes. Ce type de scénario s’est produit pour un investissement entre 1 et 5 ans</w:t>
      </w:r>
    </w:p>
    <w:p w14:paraId="20A3DACF" w14:textId="77777777" w:rsidR="00F81317" w:rsidRPr="00A71DAE" w:rsidRDefault="00F81317" w:rsidP="00BA5489">
      <w:pPr>
        <w:autoSpaceDE w:val="0"/>
        <w:autoSpaceDN w:val="0"/>
        <w:adjustRightInd w:val="0"/>
        <w:spacing w:after="0" w:line="240" w:lineRule="auto"/>
        <w:ind w:left="-810"/>
        <w:jc w:val="both"/>
        <w:rPr>
          <w:rFonts w:ascii="Helvetica" w:hAnsi="Helvetica" w:cs="ArialMT"/>
          <w:sz w:val="12"/>
          <w:szCs w:val="12"/>
        </w:rPr>
      </w:pPr>
    </w:p>
    <w:tbl>
      <w:tblPr>
        <w:tblW w:w="0" w:type="auto"/>
        <w:tblInd w:w="-810" w:type="dxa"/>
        <w:tblLayout w:type="fixed"/>
        <w:tblCellMar>
          <w:left w:w="0" w:type="dxa"/>
          <w:right w:w="0" w:type="dxa"/>
        </w:tblCellMar>
        <w:tblLook w:val="01E0" w:firstRow="1" w:lastRow="1" w:firstColumn="1" w:lastColumn="1" w:noHBand="0" w:noVBand="0"/>
      </w:tblPr>
      <w:tblGrid>
        <w:gridCol w:w="2610"/>
        <w:gridCol w:w="2519"/>
        <w:gridCol w:w="2701"/>
        <w:gridCol w:w="1620"/>
        <w:gridCol w:w="1620"/>
      </w:tblGrid>
      <w:tr w:rsidR="00ED42FB" w:rsidRPr="00A1311D" w14:paraId="3E4323E5" w14:textId="77777777" w:rsidTr="00ED42FB">
        <w:trPr>
          <w:trHeight w:val="490"/>
        </w:trPr>
        <w:tc>
          <w:tcPr>
            <w:tcW w:w="7830" w:type="dxa"/>
            <w:gridSpan w:val="3"/>
            <w:shd w:val="clear" w:color="auto" w:fill="548DD4" w:themeFill="text2" w:themeFillTint="99"/>
          </w:tcPr>
          <w:p w14:paraId="4CACDA92" w14:textId="77777777" w:rsidR="00ED42FB" w:rsidRDefault="00ED42FB" w:rsidP="00210C23">
            <w:pPr>
              <w:pStyle w:val="TableParagraph"/>
              <w:spacing w:before="34" w:line="209" w:lineRule="exact"/>
              <w:ind w:left="87" w:right="353"/>
              <w:jc w:val="both"/>
              <w:rPr>
                <w:rFonts w:ascii="Helvetica" w:hAnsi="Helvetica" w:cs="Helvetica"/>
                <w:b/>
                <w:bCs/>
                <w:color w:val="FFFFFF" w:themeColor="background1"/>
                <w:sz w:val="16"/>
                <w:szCs w:val="16"/>
              </w:rPr>
            </w:pPr>
            <w:r>
              <w:rPr>
                <w:rFonts w:ascii="Helvetica" w:hAnsi="Helvetica" w:cs="Helvetica"/>
                <w:b/>
                <w:bCs/>
                <w:color w:val="FFFFFF" w:themeColor="background1"/>
                <w:sz w:val="16"/>
                <w:szCs w:val="16"/>
              </w:rPr>
              <w:t>Période de détention recommandée : 5 ans</w:t>
            </w:r>
          </w:p>
          <w:p w14:paraId="33B8DB99" w14:textId="511E4AD2" w:rsidR="00ED42FB" w:rsidRPr="004F026C" w:rsidRDefault="00ED42FB" w:rsidP="00210C23">
            <w:pPr>
              <w:pStyle w:val="TableParagraph"/>
              <w:spacing w:before="34" w:line="209" w:lineRule="exact"/>
              <w:ind w:left="87" w:right="353"/>
              <w:jc w:val="both"/>
              <w:rPr>
                <w:rFonts w:ascii="Helvetica" w:hAnsi="Helvetica" w:cs="Helvetica"/>
                <w:b/>
                <w:bCs/>
                <w:color w:val="FFFFFF" w:themeColor="background1"/>
                <w:sz w:val="16"/>
                <w:szCs w:val="16"/>
              </w:rPr>
            </w:pPr>
            <w:r>
              <w:rPr>
                <w:rFonts w:ascii="Helvetica" w:hAnsi="Helvetica" w:cs="Helvetica"/>
                <w:b/>
                <w:bCs/>
                <w:color w:val="FFFFFF" w:themeColor="background1"/>
                <w:sz w:val="16"/>
                <w:szCs w:val="16"/>
              </w:rPr>
              <w:t>Exemple d’investissement : 10 000 euros</w:t>
            </w:r>
          </w:p>
        </w:tc>
        <w:tc>
          <w:tcPr>
            <w:tcW w:w="1620" w:type="dxa"/>
            <w:shd w:val="clear" w:color="auto" w:fill="548DD4" w:themeFill="text2" w:themeFillTint="99"/>
          </w:tcPr>
          <w:p w14:paraId="4E80B0FF" w14:textId="77777777" w:rsidR="00ED42FB" w:rsidRPr="00784438" w:rsidRDefault="00ED42FB" w:rsidP="00210C23">
            <w:pPr>
              <w:pStyle w:val="TableParagraph"/>
              <w:spacing w:before="34" w:line="209" w:lineRule="exact"/>
              <w:ind w:left="0"/>
              <w:jc w:val="center"/>
              <w:rPr>
                <w:rFonts w:ascii="Helvetica" w:hAnsi="Helvetica" w:cs="Helvetica"/>
                <w:b/>
                <w:bCs/>
                <w:color w:val="FFFFFF" w:themeColor="background1"/>
                <w:sz w:val="16"/>
                <w:szCs w:val="16"/>
              </w:rPr>
            </w:pPr>
          </w:p>
        </w:tc>
        <w:tc>
          <w:tcPr>
            <w:tcW w:w="1620" w:type="dxa"/>
            <w:shd w:val="clear" w:color="auto" w:fill="548DD4" w:themeFill="text2" w:themeFillTint="99"/>
          </w:tcPr>
          <w:p w14:paraId="55CD40FE" w14:textId="2519167E" w:rsidR="00ED42FB" w:rsidRPr="00784438" w:rsidRDefault="00ED42FB" w:rsidP="00210C23">
            <w:pPr>
              <w:pStyle w:val="TableParagraph"/>
              <w:spacing w:before="34" w:line="209" w:lineRule="exact"/>
              <w:ind w:left="0"/>
              <w:jc w:val="center"/>
              <w:rPr>
                <w:rFonts w:ascii="Helvetica" w:hAnsi="Helvetica" w:cs="Helvetica"/>
                <w:b/>
                <w:bCs/>
                <w:color w:val="FFFFFF" w:themeColor="background1"/>
                <w:sz w:val="16"/>
                <w:szCs w:val="16"/>
              </w:rPr>
            </w:pPr>
          </w:p>
        </w:tc>
      </w:tr>
      <w:tr w:rsidR="00ED42FB" w:rsidRPr="00A1311D" w14:paraId="7529CE4C" w14:textId="77777777" w:rsidTr="00ED42FB">
        <w:trPr>
          <w:trHeight w:val="490"/>
        </w:trPr>
        <w:tc>
          <w:tcPr>
            <w:tcW w:w="5129" w:type="dxa"/>
            <w:gridSpan w:val="2"/>
            <w:shd w:val="clear" w:color="auto" w:fill="1F497D" w:themeFill="text2"/>
          </w:tcPr>
          <w:p w14:paraId="38CF23D7" w14:textId="77777777" w:rsidR="00ED42FB" w:rsidRPr="00C90BF6" w:rsidRDefault="00ED42FB" w:rsidP="00210C23">
            <w:pPr>
              <w:pStyle w:val="TableParagraph"/>
              <w:spacing w:before="34" w:line="209" w:lineRule="exact"/>
              <w:ind w:left="87" w:right="353"/>
              <w:jc w:val="both"/>
              <w:rPr>
                <w:rFonts w:ascii="Helvetica" w:hAnsi="Helvetica" w:cs="Helvetica"/>
                <w:b/>
                <w:bCs/>
                <w:sz w:val="16"/>
                <w:szCs w:val="16"/>
              </w:rPr>
            </w:pPr>
            <w:r>
              <w:rPr>
                <w:rFonts w:ascii="Helvetica" w:hAnsi="Helvetica" w:cs="Helvetica"/>
                <w:b/>
                <w:bCs/>
                <w:color w:val="FFFFFF" w:themeColor="background1"/>
                <w:sz w:val="16"/>
                <w:szCs w:val="16"/>
              </w:rPr>
              <w:t>Scénarios</w:t>
            </w:r>
          </w:p>
        </w:tc>
        <w:tc>
          <w:tcPr>
            <w:tcW w:w="2701" w:type="dxa"/>
            <w:shd w:val="clear" w:color="auto" w:fill="1F497D" w:themeFill="text2"/>
          </w:tcPr>
          <w:p w14:paraId="465992ED" w14:textId="26F5A532" w:rsidR="00ED42FB" w:rsidRPr="00C90BF6" w:rsidRDefault="00ED42FB" w:rsidP="00210C23">
            <w:pPr>
              <w:pStyle w:val="TableParagraph"/>
              <w:spacing w:before="34" w:line="209" w:lineRule="exact"/>
              <w:ind w:left="87" w:right="353"/>
              <w:jc w:val="both"/>
              <w:rPr>
                <w:rFonts w:ascii="Helvetica" w:hAnsi="Helvetica" w:cs="Helvetica"/>
                <w:b/>
                <w:bCs/>
                <w:sz w:val="16"/>
                <w:szCs w:val="16"/>
              </w:rPr>
            </w:pPr>
          </w:p>
        </w:tc>
        <w:tc>
          <w:tcPr>
            <w:tcW w:w="1620" w:type="dxa"/>
            <w:shd w:val="clear" w:color="auto" w:fill="1F497D" w:themeFill="text2"/>
          </w:tcPr>
          <w:p w14:paraId="0570A0B9" w14:textId="0920AADD" w:rsidR="00ED42FB" w:rsidRPr="00784438" w:rsidRDefault="00ED42FB" w:rsidP="00210C23">
            <w:pPr>
              <w:pStyle w:val="TableParagraph"/>
              <w:spacing w:before="34" w:line="209" w:lineRule="exact"/>
              <w:ind w:left="0"/>
              <w:jc w:val="center"/>
              <w:rPr>
                <w:rFonts w:ascii="Helvetica" w:hAnsi="Helvetica" w:cs="Helvetica"/>
                <w:b/>
                <w:bCs/>
                <w:color w:val="FFFFFF" w:themeColor="background1"/>
                <w:sz w:val="16"/>
                <w:szCs w:val="16"/>
              </w:rPr>
            </w:pPr>
            <w:r w:rsidRPr="00784438">
              <w:rPr>
                <w:rFonts w:ascii="Helvetica" w:hAnsi="Helvetica" w:cs="Helvetica"/>
                <w:b/>
                <w:bCs/>
                <w:color w:val="FFFFFF" w:themeColor="background1"/>
                <w:sz w:val="16"/>
                <w:szCs w:val="16"/>
              </w:rPr>
              <w:t>Si vous sortez après 1 an</w:t>
            </w:r>
          </w:p>
        </w:tc>
        <w:tc>
          <w:tcPr>
            <w:tcW w:w="1620" w:type="dxa"/>
            <w:shd w:val="clear" w:color="auto" w:fill="1F497D" w:themeFill="text2"/>
          </w:tcPr>
          <w:p w14:paraId="7DF02F99" w14:textId="77777777" w:rsidR="00ED42FB" w:rsidRDefault="00ED42FB" w:rsidP="00210C23">
            <w:pPr>
              <w:pStyle w:val="TableParagraph"/>
              <w:spacing w:before="34" w:line="209" w:lineRule="exact"/>
              <w:ind w:left="0"/>
              <w:jc w:val="center"/>
              <w:rPr>
                <w:rFonts w:ascii="Helvetica" w:hAnsi="Helvetica" w:cs="Helvetica"/>
                <w:b/>
                <w:bCs/>
                <w:color w:val="FFFFFF" w:themeColor="background1"/>
                <w:sz w:val="16"/>
                <w:szCs w:val="16"/>
              </w:rPr>
            </w:pPr>
            <w:r w:rsidRPr="00784438">
              <w:rPr>
                <w:rFonts w:ascii="Helvetica" w:hAnsi="Helvetica" w:cs="Helvetica"/>
                <w:b/>
                <w:bCs/>
                <w:color w:val="FFFFFF" w:themeColor="background1"/>
                <w:sz w:val="16"/>
                <w:szCs w:val="16"/>
              </w:rPr>
              <w:t xml:space="preserve">Si vous sortez après </w:t>
            </w:r>
            <w:r>
              <w:rPr>
                <w:rFonts w:ascii="Helvetica" w:hAnsi="Helvetica" w:cs="Helvetica"/>
                <w:b/>
                <w:bCs/>
                <w:color w:val="FFFFFF" w:themeColor="background1"/>
                <w:sz w:val="16"/>
                <w:szCs w:val="16"/>
              </w:rPr>
              <w:t xml:space="preserve">5 </w:t>
            </w:r>
            <w:r w:rsidRPr="00784438">
              <w:rPr>
                <w:rFonts w:ascii="Helvetica" w:hAnsi="Helvetica" w:cs="Helvetica"/>
                <w:b/>
                <w:bCs/>
                <w:color w:val="FFFFFF" w:themeColor="background1"/>
                <w:sz w:val="16"/>
                <w:szCs w:val="16"/>
              </w:rPr>
              <w:t>an</w:t>
            </w:r>
            <w:r>
              <w:rPr>
                <w:rFonts w:ascii="Helvetica" w:hAnsi="Helvetica" w:cs="Helvetica"/>
                <w:b/>
                <w:bCs/>
                <w:color w:val="FFFFFF" w:themeColor="background1"/>
                <w:sz w:val="16"/>
                <w:szCs w:val="16"/>
              </w:rPr>
              <w:t>s</w:t>
            </w:r>
          </w:p>
          <w:p w14:paraId="75666B28" w14:textId="1A665D91" w:rsidR="00ED42FB" w:rsidRPr="00ED42FB" w:rsidRDefault="00ED42FB" w:rsidP="00210C23">
            <w:pPr>
              <w:pStyle w:val="TableParagraph"/>
              <w:spacing w:before="34" w:line="209" w:lineRule="exact"/>
              <w:ind w:left="0"/>
              <w:jc w:val="center"/>
              <w:rPr>
                <w:rFonts w:ascii="Helvetica" w:hAnsi="Helvetica" w:cs="Helvetica"/>
                <w:b/>
                <w:bCs/>
                <w:sz w:val="12"/>
                <w:szCs w:val="12"/>
              </w:rPr>
            </w:pPr>
            <w:r w:rsidRPr="00ED42FB">
              <w:rPr>
                <w:rFonts w:ascii="Helvetica" w:hAnsi="Helvetica" w:cs="Helvetica"/>
                <w:b/>
                <w:bCs/>
                <w:color w:val="FFFFFF" w:themeColor="background1"/>
                <w:sz w:val="12"/>
                <w:szCs w:val="12"/>
              </w:rPr>
              <w:t>(Période de détention recommandée)</w:t>
            </w:r>
          </w:p>
        </w:tc>
      </w:tr>
      <w:tr w:rsidR="00ED42FB" w:rsidRPr="00A1311D" w14:paraId="715E6543" w14:textId="77777777" w:rsidTr="0090422A">
        <w:trPr>
          <w:trHeight w:val="304"/>
        </w:trPr>
        <w:tc>
          <w:tcPr>
            <w:tcW w:w="2610" w:type="dxa"/>
            <w:tcBorders>
              <w:bottom w:val="single" w:sz="4" w:space="0" w:color="A5B4DE"/>
            </w:tcBorders>
          </w:tcPr>
          <w:p w14:paraId="5FDC21AF" w14:textId="5FB7B6B2" w:rsidR="00ED42FB" w:rsidRPr="00980082" w:rsidRDefault="00ED42FB" w:rsidP="00210C23">
            <w:pPr>
              <w:pStyle w:val="TableParagraph"/>
              <w:spacing w:before="52"/>
              <w:ind w:left="50"/>
              <w:rPr>
                <w:rFonts w:ascii="Helvetica" w:hAnsi="Helvetica" w:cs="Helvetica"/>
                <w:bCs/>
                <w:sz w:val="16"/>
                <w:szCs w:val="16"/>
              </w:rPr>
            </w:pPr>
            <w:r w:rsidRPr="00980082">
              <w:rPr>
                <w:rFonts w:ascii="Helvetica" w:hAnsi="Helvetica" w:cs="Helvetica"/>
                <w:bCs/>
                <w:sz w:val="16"/>
                <w:szCs w:val="16"/>
              </w:rPr>
              <w:t>Minimum</w:t>
            </w:r>
          </w:p>
        </w:tc>
        <w:tc>
          <w:tcPr>
            <w:tcW w:w="8460" w:type="dxa"/>
            <w:gridSpan w:val="4"/>
            <w:tcBorders>
              <w:bottom w:val="single" w:sz="4" w:space="0" w:color="A5B4DE"/>
            </w:tcBorders>
          </w:tcPr>
          <w:p w14:paraId="2E0E3044" w14:textId="4F4B8081" w:rsidR="00ED42FB" w:rsidRPr="00980082" w:rsidRDefault="00ED42FB" w:rsidP="00ED42FB">
            <w:pPr>
              <w:pStyle w:val="TableParagraph"/>
              <w:spacing w:before="52"/>
              <w:ind w:left="50"/>
              <w:rPr>
                <w:rFonts w:ascii="Helvetica" w:hAnsi="Helvetica" w:cs="Helvetica"/>
                <w:bCs/>
                <w:sz w:val="16"/>
                <w:szCs w:val="16"/>
                <w:highlight w:val="yellow"/>
              </w:rPr>
            </w:pPr>
            <w:r w:rsidRPr="00980082">
              <w:rPr>
                <w:rFonts w:ascii="Helvetica" w:hAnsi="Helvetica" w:cs="Helvetica"/>
                <w:bCs/>
                <w:sz w:val="16"/>
                <w:szCs w:val="16"/>
              </w:rPr>
              <w:t>Il n’existe aucun rendement minimal garanti. Vous pourriez perdre tout ou partie de votre investissement</w:t>
            </w:r>
          </w:p>
        </w:tc>
      </w:tr>
      <w:tr w:rsidR="00ED42FB" w:rsidRPr="00A1311D" w14:paraId="5DE4C487" w14:textId="77777777" w:rsidTr="00ED42FB">
        <w:trPr>
          <w:trHeight w:val="304"/>
        </w:trPr>
        <w:tc>
          <w:tcPr>
            <w:tcW w:w="2610" w:type="dxa"/>
            <w:tcBorders>
              <w:top w:val="single" w:sz="4" w:space="0" w:color="A5B4DE"/>
              <w:bottom w:val="single" w:sz="4" w:space="0" w:color="A5B4DE"/>
            </w:tcBorders>
          </w:tcPr>
          <w:p w14:paraId="583D588E" w14:textId="43EA9E0D" w:rsidR="00ED42FB" w:rsidRPr="00980082" w:rsidRDefault="00ED42FB" w:rsidP="00210C23">
            <w:pPr>
              <w:pStyle w:val="TableParagraph"/>
              <w:ind w:left="50"/>
              <w:rPr>
                <w:rFonts w:ascii="Helvetica" w:hAnsi="Helvetica" w:cs="Helvetica"/>
                <w:bCs/>
                <w:sz w:val="16"/>
                <w:szCs w:val="16"/>
              </w:rPr>
            </w:pPr>
            <w:r w:rsidRPr="00980082">
              <w:rPr>
                <w:rFonts w:ascii="Helvetica" w:hAnsi="Helvetica" w:cs="Helvetica"/>
                <w:bCs/>
                <w:sz w:val="16"/>
                <w:szCs w:val="16"/>
              </w:rPr>
              <w:t>Tensions</w:t>
            </w:r>
          </w:p>
        </w:tc>
        <w:tc>
          <w:tcPr>
            <w:tcW w:w="5220" w:type="dxa"/>
            <w:gridSpan w:val="2"/>
            <w:tcBorders>
              <w:top w:val="single" w:sz="4" w:space="0" w:color="A5B4DE"/>
              <w:bottom w:val="single" w:sz="4" w:space="0" w:color="A5B4DE"/>
            </w:tcBorders>
          </w:tcPr>
          <w:p w14:paraId="5E1506EE" w14:textId="77777777" w:rsidR="00ED42FB" w:rsidRPr="00980082" w:rsidRDefault="00ED42FB" w:rsidP="00210C23">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Ce que vous pourriez obtenir après déduction des coûts</w:t>
            </w:r>
          </w:p>
          <w:p w14:paraId="447B2F4E" w14:textId="2753BA03" w:rsidR="00ED42FB" w:rsidRPr="00980082" w:rsidRDefault="00ED42FB" w:rsidP="00210C23">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Rendement annuel moyen</w:t>
            </w:r>
          </w:p>
        </w:tc>
        <w:tc>
          <w:tcPr>
            <w:tcW w:w="1620" w:type="dxa"/>
            <w:tcBorders>
              <w:top w:val="single" w:sz="4" w:space="0" w:color="A5B4DE"/>
              <w:bottom w:val="single" w:sz="4" w:space="0" w:color="A5B4DE"/>
            </w:tcBorders>
          </w:tcPr>
          <w:p w14:paraId="56146659" w14:textId="621F1C54" w:rsidR="00ED42FB" w:rsidRPr="00B7062F" w:rsidRDefault="0076491B" w:rsidP="00ED42FB">
            <w:pPr>
              <w:autoSpaceDE w:val="0"/>
              <w:autoSpaceDN w:val="0"/>
              <w:adjustRightInd w:val="0"/>
              <w:spacing w:after="0" w:line="240" w:lineRule="auto"/>
              <w:jc w:val="center"/>
              <w:rPr>
                <w:rFonts w:ascii="Helvetica" w:hAnsi="Helvetica" w:cs="Helvetica"/>
                <w:sz w:val="16"/>
                <w:szCs w:val="16"/>
              </w:rPr>
            </w:pPr>
            <w:r w:rsidRPr="00B7062F">
              <w:rPr>
                <w:rFonts w:ascii="Helvetica" w:hAnsi="Helvetica" w:cs="Helvetica"/>
                <w:sz w:val="16"/>
                <w:szCs w:val="16"/>
              </w:rPr>
              <w:t xml:space="preserve">1 </w:t>
            </w:r>
            <w:r w:rsidR="009323E6">
              <w:rPr>
                <w:rFonts w:ascii="Helvetica" w:hAnsi="Helvetica" w:cs="Helvetica"/>
                <w:sz w:val="16"/>
                <w:szCs w:val="16"/>
              </w:rPr>
              <w:t>537</w:t>
            </w:r>
            <w:r w:rsidR="00ED42FB" w:rsidRPr="00B7062F">
              <w:rPr>
                <w:rFonts w:ascii="Helvetica" w:hAnsi="Helvetica" w:cs="Helvetica"/>
                <w:sz w:val="16"/>
                <w:szCs w:val="16"/>
              </w:rPr>
              <w:t>€</w:t>
            </w:r>
          </w:p>
          <w:p w14:paraId="2D7366D1" w14:textId="7544EBF9" w:rsidR="00ED42FB" w:rsidRPr="00B7062F" w:rsidRDefault="0076491B" w:rsidP="00ED42FB">
            <w:pPr>
              <w:pStyle w:val="TableParagraph"/>
              <w:spacing w:before="54"/>
              <w:ind w:left="271" w:right="216"/>
              <w:jc w:val="center"/>
              <w:rPr>
                <w:rFonts w:ascii="Helvetica" w:hAnsi="Helvetica" w:cs="Helvetica"/>
                <w:bCs/>
                <w:spacing w:val="-10"/>
                <w:sz w:val="16"/>
                <w:szCs w:val="16"/>
              </w:rPr>
            </w:pPr>
            <w:r w:rsidRPr="00B7062F">
              <w:rPr>
                <w:rFonts w:ascii="Helvetica" w:hAnsi="Helvetica" w:cs="Helvetica"/>
                <w:sz w:val="16"/>
                <w:szCs w:val="16"/>
              </w:rPr>
              <w:t>-84,</w:t>
            </w:r>
            <w:r w:rsidR="009323E6">
              <w:rPr>
                <w:rFonts w:ascii="Helvetica" w:hAnsi="Helvetica" w:cs="Helvetica"/>
                <w:sz w:val="16"/>
                <w:szCs w:val="16"/>
              </w:rPr>
              <w:t>63</w:t>
            </w:r>
            <w:r w:rsidR="00ED42FB" w:rsidRPr="00B7062F">
              <w:rPr>
                <w:rFonts w:ascii="Helvetica" w:hAnsi="Helvetica" w:cs="Helvetica"/>
                <w:sz w:val="16"/>
                <w:szCs w:val="16"/>
              </w:rPr>
              <w:t>%</w:t>
            </w:r>
          </w:p>
        </w:tc>
        <w:tc>
          <w:tcPr>
            <w:tcW w:w="1620" w:type="dxa"/>
            <w:tcBorders>
              <w:top w:val="single" w:sz="4" w:space="0" w:color="A5B4DE"/>
              <w:bottom w:val="single" w:sz="4" w:space="0" w:color="A5B4DE"/>
            </w:tcBorders>
          </w:tcPr>
          <w:p w14:paraId="16F1C52F" w14:textId="3E5E1BF3" w:rsidR="00ED42FB" w:rsidRPr="00B7062F" w:rsidRDefault="009323E6" w:rsidP="00ED42FB">
            <w:pPr>
              <w:autoSpaceDE w:val="0"/>
              <w:autoSpaceDN w:val="0"/>
              <w:adjustRightInd w:val="0"/>
              <w:spacing w:after="0" w:line="240" w:lineRule="auto"/>
              <w:jc w:val="center"/>
              <w:rPr>
                <w:rFonts w:ascii="Helvetica" w:hAnsi="Helvetica" w:cs="Helvetica"/>
                <w:sz w:val="16"/>
                <w:szCs w:val="16"/>
              </w:rPr>
            </w:pPr>
            <w:r>
              <w:rPr>
                <w:rFonts w:ascii="Helvetica" w:hAnsi="Helvetica" w:cs="Helvetica"/>
                <w:sz w:val="16"/>
                <w:szCs w:val="16"/>
              </w:rPr>
              <w:t>2 555</w:t>
            </w:r>
            <w:r w:rsidR="00ED42FB" w:rsidRPr="00B7062F">
              <w:rPr>
                <w:rFonts w:ascii="Helvetica" w:hAnsi="Helvetica" w:cs="Helvetica"/>
                <w:sz w:val="16"/>
                <w:szCs w:val="16"/>
              </w:rPr>
              <w:t>€</w:t>
            </w:r>
          </w:p>
          <w:p w14:paraId="44D29682" w14:textId="4149FA34" w:rsidR="00ED42FB" w:rsidRPr="00B7062F" w:rsidRDefault="0076491B" w:rsidP="00ED42FB">
            <w:pPr>
              <w:pStyle w:val="TableParagraph"/>
              <w:spacing w:before="54"/>
              <w:ind w:left="271" w:right="216"/>
              <w:jc w:val="center"/>
              <w:rPr>
                <w:rFonts w:ascii="Helvetica" w:hAnsi="Helvetica" w:cs="Helvetica"/>
                <w:bCs/>
                <w:spacing w:val="-10"/>
                <w:sz w:val="16"/>
                <w:szCs w:val="16"/>
              </w:rPr>
            </w:pPr>
            <w:r w:rsidRPr="00B7062F">
              <w:rPr>
                <w:rFonts w:ascii="Helvetica" w:hAnsi="Helvetica" w:cs="Helvetica"/>
                <w:sz w:val="16"/>
                <w:szCs w:val="16"/>
              </w:rPr>
              <w:t>-</w:t>
            </w:r>
            <w:r w:rsidR="009323E6">
              <w:rPr>
                <w:rFonts w:ascii="Helvetica" w:hAnsi="Helvetica" w:cs="Helvetica"/>
                <w:sz w:val="16"/>
                <w:szCs w:val="16"/>
              </w:rPr>
              <w:t>23,88</w:t>
            </w:r>
            <w:r w:rsidR="00ED42FB" w:rsidRPr="00B7062F">
              <w:rPr>
                <w:rFonts w:ascii="Helvetica" w:hAnsi="Helvetica" w:cs="Helvetica"/>
                <w:sz w:val="16"/>
                <w:szCs w:val="16"/>
              </w:rPr>
              <w:t>%</w:t>
            </w:r>
          </w:p>
        </w:tc>
      </w:tr>
      <w:tr w:rsidR="00ED42FB" w:rsidRPr="00A1311D" w14:paraId="3ABAC1BE" w14:textId="77777777" w:rsidTr="00ED42FB">
        <w:trPr>
          <w:trHeight w:val="304"/>
        </w:trPr>
        <w:tc>
          <w:tcPr>
            <w:tcW w:w="2610" w:type="dxa"/>
            <w:tcBorders>
              <w:top w:val="single" w:sz="4" w:space="0" w:color="A5B4DE"/>
              <w:bottom w:val="single" w:sz="4" w:space="0" w:color="A5B4DE"/>
            </w:tcBorders>
          </w:tcPr>
          <w:p w14:paraId="671F6E1E" w14:textId="77632483" w:rsidR="00ED42FB" w:rsidRPr="00980082" w:rsidRDefault="00ED42FB" w:rsidP="00210C23">
            <w:pPr>
              <w:pStyle w:val="TableParagraph"/>
              <w:ind w:left="50"/>
              <w:rPr>
                <w:rFonts w:ascii="Helvetica" w:hAnsi="Helvetica" w:cs="Helvetica"/>
                <w:bCs/>
                <w:sz w:val="16"/>
                <w:szCs w:val="16"/>
              </w:rPr>
            </w:pPr>
            <w:r w:rsidRPr="00980082">
              <w:rPr>
                <w:rFonts w:ascii="Helvetica" w:hAnsi="Helvetica" w:cs="Helvetica"/>
                <w:bCs/>
                <w:sz w:val="16"/>
                <w:szCs w:val="16"/>
              </w:rPr>
              <w:t>Défavorable</w:t>
            </w:r>
          </w:p>
        </w:tc>
        <w:tc>
          <w:tcPr>
            <w:tcW w:w="5220" w:type="dxa"/>
            <w:gridSpan w:val="2"/>
            <w:tcBorders>
              <w:top w:val="single" w:sz="4" w:space="0" w:color="A5B4DE"/>
              <w:bottom w:val="single" w:sz="4" w:space="0" w:color="A5B4DE"/>
            </w:tcBorders>
          </w:tcPr>
          <w:p w14:paraId="6780C0A6" w14:textId="77777777" w:rsidR="00ED42FB" w:rsidRPr="00980082" w:rsidRDefault="00ED42FB" w:rsidP="00ED42FB">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Ce que vous pourriez obtenir après déduction des coûts</w:t>
            </w:r>
          </w:p>
          <w:p w14:paraId="3BD0757A" w14:textId="516BA11B" w:rsidR="00ED42FB" w:rsidRPr="00980082" w:rsidRDefault="00ED42FB" w:rsidP="00ED42FB">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Rendement annuel moyen</w:t>
            </w:r>
          </w:p>
        </w:tc>
        <w:tc>
          <w:tcPr>
            <w:tcW w:w="1620" w:type="dxa"/>
            <w:tcBorders>
              <w:top w:val="single" w:sz="4" w:space="0" w:color="A5B4DE"/>
              <w:bottom w:val="single" w:sz="4" w:space="0" w:color="A5B4DE"/>
            </w:tcBorders>
          </w:tcPr>
          <w:p w14:paraId="7B1BFF28" w14:textId="2D952425" w:rsidR="00ED42FB" w:rsidRPr="00B7062F" w:rsidRDefault="009323E6" w:rsidP="00ED42FB">
            <w:pPr>
              <w:autoSpaceDE w:val="0"/>
              <w:autoSpaceDN w:val="0"/>
              <w:adjustRightInd w:val="0"/>
              <w:spacing w:after="0" w:line="240" w:lineRule="auto"/>
              <w:jc w:val="center"/>
              <w:rPr>
                <w:rFonts w:ascii="Helvetica" w:hAnsi="Helvetica" w:cs="Helvetica"/>
                <w:sz w:val="16"/>
                <w:szCs w:val="16"/>
              </w:rPr>
            </w:pPr>
            <w:r>
              <w:rPr>
                <w:rFonts w:ascii="Helvetica" w:hAnsi="Helvetica" w:cs="Helvetica"/>
                <w:sz w:val="16"/>
                <w:szCs w:val="16"/>
              </w:rPr>
              <w:t>7 836</w:t>
            </w:r>
            <w:r w:rsidR="00ED42FB" w:rsidRPr="00B7062F">
              <w:rPr>
                <w:rFonts w:ascii="Helvetica" w:hAnsi="Helvetica" w:cs="Helvetica"/>
                <w:sz w:val="16"/>
                <w:szCs w:val="16"/>
              </w:rPr>
              <w:t>€</w:t>
            </w:r>
          </w:p>
          <w:p w14:paraId="0275BD6B" w14:textId="1B47D759" w:rsidR="00ED42FB" w:rsidRPr="00B7062F" w:rsidRDefault="0076491B" w:rsidP="00ED42FB">
            <w:pPr>
              <w:pStyle w:val="TableParagraph"/>
              <w:spacing w:before="54"/>
              <w:ind w:left="271" w:right="216"/>
              <w:jc w:val="center"/>
              <w:rPr>
                <w:rFonts w:ascii="Helvetica" w:hAnsi="Helvetica" w:cs="Helvetica"/>
                <w:bCs/>
                <w:spacing w:val="-10"/>
                <w:sz w:val="16"/>
                <w:szCs w:val="16"/>
              </w:rPr>
            </w:pPr>
            <w:r w:rsidRPr="00B7062F">
              <w:rPr>
                <w:rFonts w:ascii="Helvetica" w:hAnsi="Helvetica" w:cs="Helvetica"/>
                <w:sz w:val="16"/>
                <w:szCs w:val="16"/>
              </w:rPr>
              <w:t>-</w:t>
            </w:r>
            <w:r w:rsidR="009323E6">
              <w:rPr>
                <w:rFonts w:ascii="Helvetica" w:hAnsi="Helvetica" w:cs="Helvetica"/>
                <w:sz w:val="16"/>
                <w:szCs w:val="16"/>
              </w:rPr>
              <w:t>21,64</w:t>
            </w:r>
            <w:r w:rsidR="00ED42FB" w:rsidRPr="00B7062F">
              <w:rPr>
                <w:rFonts w:ascii="Helvetica" w:hAnsi="Helvetica" w:cs="Helvetica"/>
                <w:sz w:val="16"/>
                <w:szCs w:val="16"/>
              </w:rPr>
              <w:t>%</w:t>
            </w:r>
          </w:p>
        </w:tc>
        <w:tc>
          <w:tcPr>
            <w:tcW w:w="1620" w:type="dxa"/>
            <w:tcBorders>
              <w:top w:val="single" w:sz="4" w:space="0" w:color="A5B4DE"/>
              <w:bottom w:val="single" w:sz="4" w:space="0" w:color="A5B4DE"/>
            </w:tcBorders>
          </w:tcPr>
          <w:p w14:paraId="5E6D32E2" w14:textId="19586801" w:rsidR="00ED42FB" w:rsidRPr="00B7062F" w:rsidRDefault="009323E6" w:rsidP="00ED42FB">
            <w:pPr>
              <w:autoSpaceDE w:val="0"/>
              <w:autoSpaceDN w:val="0"/>
              <w:adjustRightInd w:val="0"/>
              <w:spacing w:after="0" w:line="240" w:lineRule="auto"/>
              <w:jc w:val="center"/>
              <w:rPr>
                <w:rFonts w:ascii="Helvetica" w:hAnsi="Helvetica" w:cs="Helvetica"/>
                <w:sz w:val="16"/>
                <w:szCs w:val="16"/>
              </w:rPr>
            </w:pPr>
            <w:r>
              <w:rPr>
                <w:rFonts w:ascii="Helvetica" w:hAnsi="Helvetica" w:cs="Helvetica"/>
                <w:sz w:val="16"/>
                <w:szCs w:val="16"/>
              </w:rPr>
              <w:t>6 348</w:t>
            </w:r>
            <w:r w:rsidR="00ED42FB" w:rsidRPr="00B7062F">
              <w:rPr>
                <w:rFonts w:ascii="Helvetica" w:hAnsi="Helvetica" w:cs="Helvetica"/>
                <w:sz w:val="16"/>
                <w:szCs w:val="16"/>
              </w:rPr>
              <w:t>€</w:t>
            </w:r>
          </w:p>
          <w:p w14:paraId="47379778" w14:textId="2A63240E" w:rsidR="00ED42FB" w:rsidRPr="00B7062F" w:rsidRDefault="0076491B" w:rsidP="00ED42FB">
            <w:pPr>
              <w:pStyle w:val="TableParagraph"/>
              <w:spacing w:before="54"/>
              <w:ind w:left="271" w:right="216"/>
              <w:jc w:val="center"/>
              <w:rPr>
                <w:rFonts w:ascii="Helvetica" w:hAnsi="Helvetica" w:cs="Helvetica"/>
                <w:bCs/>
                <w:spacing w:val="-10"/>
                <w:sz w:val="16"/>
                <w:szCs w:val="16"/>
              </w:rPr>
            </w:pPr>
            <w:r w:rsidRPr="00B7062F">
              <w:rPr>
                <w:rFonts w:ascii="Helvetica" w:hAnsi="Helvetica" w:cs="Helvetica"/>
                <w:sz w:val="16"/>
                <w:szCs w:val="16"/>
              </w:rPr>
              <w:t>-</w:t>
            </w:r>
            <w:r w:rsidR="009323E6">
              <w:rPr>
                <w:rFonts w:ascii="Helvetica" w:hAnsi="Helvetica" w:cs="Helvetica"/>
                <w:sz w:val="16"/>
                <w:szCs w:val="16"/>
              </w:rPr>
              <w:t>8,69</w:t>
            </w:r>
            <w:r w:rsidR="00ED42FB" w:rsidRPr="00B7062F">
              <w:rPr>
                <w:rFonts w:ascii="Helvetica" w:hAnsi="Helvetica" w:cs="Helvetica"/>
                <w:sz w:val="16"/>
                <w:szCs w:val="16"/>
              </w:rPr>
              <w:t>%</w:t>
            </w:r>
          </w:p>
        </w:tc>
      </w:tr>
      <w:tr w:rsidR="00ED42FB" w:rsidRPr="00A1311D" w14:paraId="23766ACE" w14:textId="77777777" w:rsidTr="00ED42FB">
        <w:trPr>
          <w:trHeight w:val="304"/>
        </w:trPr>
        <w:tc>
          <w:tcPr>
            <w:tcW w:w="2610" w:type="dxa"/>
            <w:tcBorders>
              <w:top w:val="single" w:sz="4" w:space="0" w:color="A5B4DE"/>
              <w:bottom w:val="single" w:sz="4" w:space="0" w:color="A5B4DE"/>
            </w:tcBorders>
          </w:tcPr>
          <w:p w14:paraId="559D10D6" w14:textId="60C0E62A" w:rsidR="00ED42FB" w:rsidRPr="00980082" w:rsidRDefault="00ED42FB" w:rsidP="00210C23">
            <w:pPr>
              <w:pStyle w:val="TableParagraph"/>
              <w:ind w:left="50"/>
              <w:rPr>
                <w:rFonts w:ascii="Helvetica" w:hAnsi="Helvetica" w:cs="Helvetica"/>
                <w:bCs/>
                <w:sz w:val="16"/>
                <w:szCs w:val="16"/>
              </w:rPr>
            </w:pPr>
            <w:r w:rsidRPr="00980082">
              <w:rPr>
                <w:rFonts w:ascii="Helvetica" w:hAnsi="Helvetica" w:cs="Helvetica"/>
                <w:bCs/>
                <w:sz w:val="16"/>
                <w:szCs w:val="16"/>
              </w:rPr>
              <w:t>Intermédiaire</w:t>
            </w:r>
          </w:p>
        </w:tc>
        <w:tc>
          <w:tcPr>
            <w:tcW w:w="5220" w:type="dxa"/>
            <w:gridSpan w:val="2"/>
            <w:tcBorders>
              <w:top w:val="single" w:sz="4" w:space="0" w:color="A5B4DE"/>
              <w:bottom w:val="single" w:sz="4" w:space="0" w:color="A5B4DE"/>
            </w:tcBorders>
          </w:tcPr>
          <w:p w14:paraId="29106BDE" w14:textId="77777777" w:rsidR="00ED42FB" w:rsidRPr="00980082" w:rsidRDefault="00ED42FB" w:rsidP="00ED42FB">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Ce que vous pourriez obtenir après déduction des coûts</w:t>
            </w:r>
          </w:p>
          <w:p w14:paraId="059BBDAF" w14:textId="7606DC11" w:rsidR="00ED42FB" w:rsidRPr="00980082" w:rsidRDefault="00ED42FB" w:rsidP="00ED42FB">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Rendement annuel moyen</w:t>
            </w:r>
          </w:p>
        </w:tc>
        <w:tc>
          <w:tcPr>
            <w:tcW w:w="1620" w:type="dxa"/>
            <w:tcBorders>
              <w:top w:val="single" w:sz="4" w:space="0" w:color="A5B4DE"/>
              <w:bottom w:val="single" w:sz="4" w:space="0" w:color="A5B4DE"/>
            </w:tcBorders>
          </w:tcPr>
          <w:p w14:paraId="58CD91EF" w14:textId="6872F055" w:rsidR="00ED42FB" w:rsidRPr="00B7062F" w:rsidRDefault="0076491B" w:rsidP="00ED42FB">
            <w:pPr>
              <w:autoSpaceDE w:val="0"/>
              <w:autoSpaceDN w:val="0"/>
              <w:adjustRightInd w:val="0"/>
              <w:spacing w:after="0" w:line="240" w:lineRule="auto"/>
              <w:jc w:val="center"/>
              <w:rPr>
                <w:rFonts w:ascii="Helvetica" w:hAnsi="Helvetica" w:cs="Helvetica"/>
                <w:sz w:val="16"/>
                <w:szCs w:val="16"/>
              </w:rPr>
            </w:pPr>
            <w:r w:rsidRPr="00B7062F">
              <w:rPr>
                <w:rFonts w:ascii="Helvetica" w:hAnsi="Helvetica" w:cs="Helvetica"/>
                <w:sz w:val="16"/>
                <w:szCs w:val="16"/>
              </w:rPr>
              <w:t xml:space="preserve">10 </w:t>
            </w:r>
            <w:r w:rsidR="009323E6">
              <w:rPr>
                <w:rFonts w:ascii="Helvetica" w:hAnsi="Helvetica" w:cs="Helvetica"/>
                <w:sz w:val="16"/>
                <w:szCs w:val="16"/>
              </w:rPr>
              <w:t>355</w:t>
            </w:r>
            <w:r w:rsidR="00ED42FB" w:rsidRPr="00B7062F">
              <w:rPr>
                <w:rFonts w:ascii="Helvetica" w:hAnsi="Helvetica" w:cs="Helvetica"/>
                <w:sz w:val="16"/>
                <w:szCs w:val="16"/>
              </w:rPr>
              <w:t>€</w:t>
            </w:r>
          </w:p>
          <w:p w14:paraId="13C67788" w14:textId="4655FA0B" w:rsidR="00ED42FB" w:rsidRPr="00B7062F" w:rsidRDefault="00B7062F" w:rsidP="00B7062F">
            <w:pPr>
              <w:pStyle w:val="TableParagraph"/>
              <w:spacing w:before="54"/>
              <w:ind w:left="271" w:right="216"/>
              <w:jc w:val="center"/>
              <w:rPr>
                <w:rFonts w:ascii="Helvetica" w:hAnsi="Helvetica" w:cs="Helvetica"/>
                <w:sz w:val="16"/>
                <w:szCs w:val="16"/>
              </w:rPr>
            </w:pPr>
            <w:r w:rsidRPr="00B7062F">
              <w:rPr>
                <w:rFonts w:ascii="Helvetica" w:hAnsi="Helvetica" w:cs="Helvetica"/>
                <w:sz w:val="16"/>
                <w:szCs w:val="16"/>
              </w:rPr>
              <w:t>5</w:t>
            </w:r>
            <w:r w:rsidR="0076491B" w:rsidRPr="00B7062F">
              <w:rPr>
                <w:rFonts w:ascii="Helvetica" w:hAnsi="Helvetica" w:cs="Helvetica"/>
                <w:sz w:val="16"/>
                <w:szCs w:val="16"/>
              </w:rPr>
              <w:t>,</w:t>
            </w:r>
            <w:r w:rsidR="009323E6">
              <w:rPr>
                <w:rFonts w:ascii="Helvetica" w:hAnsi="Helvetica" w:cs="Helvetica"/>
                <w:sz w:val="16"/>
                <w:szCs w:val="16"/>
              </w:rPr>
              <w:t>55</w:t>
            </w:r>
            <w:r w:rsidR="00ED42FB" w:rsidRPr="00B7062F">
              <w:rPr>
                <w:rFonts w:ascii="Helvetica" w:hAnsi="Helvetica" w:cs="Helvetica"/>
                <w:sz w:val="16"/>
                <w:szCs w:val="16"/>
              </w:rPr>
              <w:t>%</w:t>
            </w:r>
          </w:p>
        </w:tc>
        <w:tc>
          <w:tcPr>
            <w:tcW w:w="1620" w:type="dxa"/>
            <w:tcBorders>
              <w:top w:val="single" w:sz="4" w:space="0" w:color="A5B4DE"/>
              <w:bottom w:val="single" w:sz="4" w:space="0" w:color="A5B4DE"/>
            </w:tcBorders>
          </w:tcPr>
          <w:p w14:paraId="65B13652" w14:textId="480AC16E" w:rsidR="00ED42FB" w:rsidRPr="00B7062F" w:rsidRDefault="0076491B" w:rsidP="00ED42FB">
            <w:pPr>
              <w:autoSpaceDE w:val="0"/>
              <w:autoSpaceDN w:val="0"/>
              <w:adjustRightInd w:val="0"/>
              <w:spacing w:after="0" w:line="240" w:lineRule="auto"/>
              <w:jc w:val="center"/>
              <w:rPr>
                <w:rFonts w:ascii="Helvetica" w:hAnsi="Helvetica" w:cs="Helvetica"/>
                <w:sz w:val="16"/>
                <w:szCs w:val="16"/>
              </w:rPr>
            </w:pPr>
            <w:r w:rsidRPr="00B7062F">
              <w:rPr>
                <w:rFonts w:ascii="Helvetica" w:hAnsi="Helvetica" w:cs="Helvetica"/>
                <w:sz w:val="16"/>
                <w:szCs w:val="16"/>
              </w:rPr>
              <w:t>1</w:t>
            </w:r>
            <w:r w:rsidR="009323E6">
              <w:rPr>
                <w:rFonts w:ascii="Helvetica" w:hAnsi="Helvetica" w:cs="Helvetica"/>
                <w:sz w:val="16"/>
                <w:szCs w:val="16"/>
              </w:rPr>
              <w:t>1 874</w:t>
            </w:r>
            <w:r w:rsidR="00ED42FB" w:rsidRPr="00B7062F">
              <w:rPr>
                <w:rFonts w:ascii="Helvetica" w:hAnsi="Helvetica" w:cs="Helvetica"/>
                <w:sz w:val="16"/>
                <w:szCs w:val="16"/>
              </w:rPr>
              <w:t>€</w:t>
            </w:r>
          </w:p>
          <w:p w14:paraId="42C8912E" w14:textId="1C167EC4" w:rsidR="00ED42FB" w:rsidRPr="00B7062F" w:rsidRDefault="009323E6" w:rsidP="00415623">
            <w:pPr>
              <w:pStyle w:val="TableParagraph"/>
              <w:spacing w:before="54"/>
              <w:ind w:left="271" w:right="216"/>
              <w:jc w:val="center"/>
              <w:rPr>
                <w:rFonts w:ascii="Helvetica" w:hAnsi="Helvetica" w:cs="Helvetica"/>
                <w:sz w:val="16"/>
                <w:szCs w:val="16"/>
              </w:rPr>
            </w:pPr>
            <w:r>
              <w:rPr>
                <w:rFonts w:ascii="Helvetica" w:hAnsi="Helvetica" w:cs="Helvetica"/>
                <w:sz w:val="16"/>
                <w:szCs w:val="16"/>
              </w:rPr>
              <w:t>3,49</w:t>
            </w:r>
            <w:r w:rsidR="00ED42FB" w:rsidRPr="00B7062F">
              <w:rPr>
                <w:rFonts w:ascii="Helvetica" w:hAnsi="Helvetica" w:cs="Helvetica"/>
                <w:sz w:val="16"/>
                <w:szCs w:val="16"/>
              </w:rPr>
              <w:t>%</w:t>
            </w:r>
          </w:p>
        </w:tc>
      </w:tr>
      <w:tr w:rsidR="00ED42FB" w:rsidRPr="00A1311D" w14:paraId="52C22E2A" w14:textId="77777777" w:rsidTr="00ED42FB">
        <w:trPr>
          <w:trHeight w:val="304"/>
        </w:trPr>
        <w:tc>
          <w:tcPr>
            <w:tcW w:w="2610" w:type="dxa"/>
            <w:tcBorders>
              <w:top w:val="single" w:sz="4" w:space="0" w:color="A5B4DE"/>
              <w:bottom w:val="single" w:sz="4" w:space="0" w:color="A5B4DE"/>
            </w:tcBorders>
          </w:tcPr>
          <w:p w14:paraId="4D5F9CE5" w14:textId="1A5C8FE6" w:rsidR="00ED42FB" w:rsidRPr="00980082" w:rsidRDefault="00ED42FB" w:rsidP="00210C23">
            <w:pPr>
              <w:pStyle w:val="TableParagraph"/>
              <w:ind w:left="50"/>
              <w:rPr>
                <w:rFonts w:ascii="Helvetica" w:hAnsi="Helvetica" w:cs="Helvetica"/>
                <w:bCs/>
                <w:sz w:val="16"/>
                <w:szCs w:val="16"/>
              </w:rPr>
            </w:pPr>
            <w:r w:rsidRPr="00980082">
              <w:rPr>
                <w:rFonts w:ascii="Helvetica" w:hAnsi="Helvetica" w:cs="Helvetica"/>
                <w:bCs/>
                <w:sz w:val="16"/>
                <w:szCs w:val="16"/>
              </w:rPr>
              <w:t>Favorable</w:t>
            </w:r>
          </w:p>
        </w:tc>
        <w:tc>
          <w:tcPr>
            <w:tcW w:w="5220" w:type="dxa"/>
            <w:gridSpan w:val="2"/>
            <w:tcBorders>
              <w:top w:val="single" w:sz="4" w:space="0" w:color="A5B4DE"/>
              <w:bottom w:val="single" w:sz="4" w:space="0" w:color="A5B4DE"/>
            </w:tcBorders>
          </w:tcPr>
          <w:p w14:paraId="1D0D61C9" w14:textId="77777777" w:rsidR="00ED42FB" w:rsidRPr="00980082" w:rsidRDefault="00ED42FB" w:rsidP="00ED42FB">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Ce que vous pourriez obtenir après déduction des coûts</w:t>
            </w:r>
          </w:p>
          <w:p w14:paraId="6812EA36" w14:textId="256D1C9C" w:rsidR="00ED42FB" w:rsidRPr="00980082" w:rsidRDefault="00ED42FB" w:rsidP="00ED42FB">
            <w:pPr>
              <w:autoSpaceDE w:val="0"/>
              <w:autoSpaceDN w:val="0"/>
              <w:adjustRightInd w:val="0"/>
              <w:spacing w:after="0" w:line="240" w:lineRule="auto"/>
              <w:jc w:val="both"/>
              <w:rPr>
                <w:rFonts w:ascii="Helvetica" w:hAnsi="Helvetica" w:cs="Helvetica"/>
                <w:sz w:val="16"/>
                <w:szCs w:val="16"/>
              </w:rPr>
            </w:pPr>
            <w:r w:rsidRPr="00980082">
              <w:rPr>
                <w:rFonts w:ascii="Helvetica" w:hAnsi="Helvetica" w:cs="Helvetica"/>
                <w:sz w:val="16"/>
                <w:szCs w:val="16"/>
              </w:rPr>
              <w:t>Rendement annuel moyen</w:t>
            </w:r>
          </w:p>
        </w:tc>
        <w:tc>
          <w:tcPr>
            <w:tcW w:w="1620" w:type="dxa"/>
            <w:tcBorders>
              <w:top w:val="single" w:sz="4" w:space="0" w:color="A5B4DE"/>
              <w:bottom w:val="single" w:sz="4" w:space="0" w:color="A5B4DE"/>
            </w:tcBorders>
          </w:tcPr>
          <w:p w14:paraId="25A24D5A" w14:textId="7D5BEC6F" w:rsidR="00ED42FB" w:rsidRPr="00B7062F" w:rsidRDefault="0076491B" w:rsidP="00ED42FB">
            <w:pPr>
              <w:autoSpaceDE w:val="0"/>
              <w:autoSpaceDN w:val="0"/>
              <w:adjustRightInd w:val="0"/>
              <w:spacing w:after="0" w:line="240" w:lineRule="auto"/>
              <w:jc w:val="center"/>
              <w:rPr>
                <w:rFonts w:ascii="Helvetica" w:hAnsi="Helvetica" w:cs="Helvetica"/>
                <w:sz w:val="16"/>
                <w:szCs w:val="16"/>
              </w:rPr>
            </w:pPr>
            <w:r w:rsidRPr="00B7062F">
              <w:rPr>
                <w:rFonts w:ascii="Helvetica" w:hAnsi="Helvetica" w:cs="Helvetica"/>
                <w:sz w:val="16"/>
                <w:szCs w:val="16"/>
              </w:rPr>
              <w:t xml:space="preserve">13 </w:t>
            </w:r>
            <w:r w:rsidR="009323E6">
              <w:rPr>
                <w:rFonts w:ascii="Helvetica" w:hAnsi="Helvetica" w:cs="Helvetica"/>
                <w:sz w:val="16"/>
                <w:szCs w:val="16"/>
              </w:rPr>
              <w:t>621</w:t>
            </w:r>
            <w:r w:rsidR="00ED42FB" w:rsidRPr="00B7062F">
              <w:rPr>
                <w:rFonts w:ascii="Helvetica" w:hAnsi="Helvetica" w:cs="Helvetica"/>
                <w:sz w:val="16"/>
                <w:szCs w:val="16"/>
              </w:rPr>
              <w:t>€</w:t>
            </w:r>
          </w:p>
          <w:p w14:paraId="348326A7" w14:textId="2338A6DF" w:rsidR="00ED42FB" w:rsidRPr="00B7062F" w:rsidRDefault="0076491B" w:rsidP="00B7062F">
            <w:pPr>
              <w:pStyle w:val="TableParagraph"/>
              <w:spacing w:before="54"/>
              <w:ind w:left="271" w:right="216"/>
              <w:jc w:val="center"/>
              <w:rPr>
                <w:rFonts w:ascii="Helvetica" w:hAnsi="Helvetica" w:cs="Helvetica"/>
                <w:sz w:val="16"/>
                <w:szCs w:val="16"/>
              </w:rPr>
            </w:pPr>
            <w:r w:rsidRPr="00B7062F">
              <w:rPr>
                <w:rFonts w:ascii="Helvetica" w:hAnsi="Helvetica" w:cs="Helvetica"/>
                <w:sz w:val="16"/>
                <w:szCs w:val="16"/>
              </w:rPr>
              <w:t>3</w:t>
            </w:r>
            <w:r w:rsidR="009323E6">
              <w:rPr>
                <w:rFonts w:ascii="Helvetica" w:hAnsi="Helvetica" w:cs="Helvetica"/>
                <w:sz w:val="16"/>
                <w:szCs w:val="16"/>
              </w:rPr>
              <w:t>6,21</w:t>
            </w:r>
            <w:r w:rsidR="00ED42FB" w:rsidRPr="00B7062F">
              <w:rPr>
                <w:rFonts w:ascii="Helvetica" w:hAnsi="Helvetica" w:cs="Helvetica"/>
                <w:sz w:val="16"/>
                <w:szCs w:val="16"/>
              </w:rPr>
              <w:t>%</w:t>
            </w:r>
          </w:p>
        </w:tc>
        <w:tc>
          <w:tcPr>
            <w:tcW w:w="1620" w:type="dxa"/>
            <w:tcBorders>
              <w:top w:val="single" w:sz="4" w:space="0" w:color="A5B4DE"/>
              <w:bottom w:val="single" w:sz="4" w:space="0" w:color="A5B4DE"/>
            </w:tcBorders>
          </w:tcPr>
          <w:p w14:paraId="1352F14F" w14:textId="79F9EB0A" w:rsidR="00ED42FB" w:rsidRPr="00B7062F" w:rsidRDefault="00B7062F" w:rsidP="00ED42FB">
            <w:pPr>
              <w:autoSpaceDE w:val="0"/>
              <w:autoSpaceDN w:val="0"/>
              <w:adjustRightInd w:val="0"/>
              <w:spacing w:after="0" w:line="240" w:lineRule="auto"/>
              <w:jc w:val="center"/>
              <w:rPr>
                <w:rFonts w:ascii="Helvetica" w:hAnsi="Helvetica" w:cs="Helvetica"/>
                <w:sz w:val="16"/>
                <w:szCs w:val="16"/>
              </w:rPr>
            </w:pPr>
            <w:r w:rsidRPr="00B7062F">
              <w:rPr>
                <w:rFonts w:ascii="Helvetica" w:hAnsi="Helvetica" w:cs="Helvetica"/>
                <w:sz w:val="16"/>
                <w:szCs w:val="16"/>
              </w:rPr>
              <w:t xml:space="preserve">22 </w:t>
            </w:r>
            <w:r w:rsidR="009323E6">
              <w:rPr>
                <w:rFonts w:ascii="Helvetica" w:hAnsi="Helvetica" w:cs="Helvetica"/>
                <w:sz w:val="16"/>
                <w:szCs w:val="16"/>
              </w:rPr>
              <w:t>109</w:t>
            </w:r>
            <w:r w:rsidR="00ED42FB" w:rsidRPr="00B7062F">
              <w:rPr>
                <w:rFonts w:ascii="Helvetica" w:hAnsi="Helvetica" w:cs="Helvetica"/>
                <w:sz w:val="16"/>
                <w:szCs w:val="16"/>
              </w:rPr>
              <w:t>€</w:t>
            </w:r>
          </w:p>
          <w:p w14:paraId="38AFFE79" w14:textId="212857AF" w:rsidR="00ED42FB" w:rsidRPr="00B7062F" w:rsidRDefault="00B7062F" w:rsidP="00ED42FB">
            <w:pPr>
              <w:pStyle w:val="TableParagraph"/>
              <w:spacing w:before="54"/>
              <w:ind w:left="271" w:right="216"/>
              <w:jc w:val="center"/>
              <w:rPr>
                <w:rFonts w:ascii="Helvetica" w:hAnsi="Helvetica" w:cs="Helvetica"/>
                <w:bCs/>
                <w:sz w:val="16"/>
                <w:szCs w:val="16"/>
              </w:rPr>
            </w:pPr>
            <w:r w:rsidRPr="00B7062F">
              <w:rPr>
                <w:rFonts w:ascii="Helvetica" w:hAnsi="Helvetica" w:cs="Helvetica"/>
                <w:sz w:val="16"/>
                <w:szCs w:val="16"/>
              </w:rPr>
              <w:t>17</w:t>
            </w:r>
            <w:r w:rsidR="0076491B" w:rsidRPr="00B7062F">
              <w:rPr>
                <w:rFonts w:ascii="Helvetica" w:hAnsi="Helvetica" w:cs="Helvetica"/>
                <w:sz w:val="16"/>
                <w:szCs w:val="16"/>
              </w:rPr>
              <w:t>,</w:t>
            </w:r>
            <w:r w:rsidR="009323E6">
              <w:rPr>
                <w:rFonts w:ascii="Helvetica" w:hAnsi="Helvetica" w:cs="Helvetica"/>
                <w:sz w:val="16"/>
                <w:szCs w:val="16"/>
              </w:rPr>
              <w:t>20</w:t>
            </w:r>
            <w:r w:rsidR="00ED42FB" w:rsidRPr="00B7062F">
              <w:rPr>
                <w:rFonts w:ascii="Helvetica" w:hAnsi="Helvetica" w:cs="Helvetica"/>
                <w:sz w:val="16"/>
                <w:szCs w:val="16"/>
              </w:rPr>
              <w:t>%</w:t>
            </w:r>
          </w:p>
        </w:tc>
      </w:tr>
    </w:tbl>
    <w:p w14:paraId="5C2021CD"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7773FC99" w14:textId="3AC4F1B6" w:rsidR="00A94E46" w:rsidRDefault="00A94E46" w:rsidP="00A94E46">
      <w:pPr>
        <w:autoSpaceDE w:val="0"/>
        <w:autoSpaceDN w:val="0"/>
        <w:adjustRightInd w:val="0"/>
        <w:spacing w:after="0" w:line="240" w:lineRule="auto"/>
        <w:ind w:left="-810"/>
        <w:jc w:val="both"/>
        <w:rPr>
          <w:rFonts w:ascii="Helvetica" w:hAnsi="Helvetica" w:cs="ArialMT"/>
          <w:sz w:val="16"/>
          <w:szCs w:val="16"/>
        </w:rPr>
      </w:pPr>
      <w:r w:rsidRPr="00A94E46">
        <w:rPr>
          <w:rFonts w:ascii="Helvetica" w:hAnsi="Helvetica" w:cs="ArialMT"/>
          <w:sz w:val="16"/>
          <w:szCs w:val="16"/>
        </w:rPr>
        <w:t>Ce tableau montre les sommes que vous pourriez obtenir sur 5 ans, en fonction de différents scénarios, en supposant que vous investissiez 10 000,00 EUR</w:t>
      </w:r>
      <w:r w:rsidR="00980082">
        <w:rPr>
          <w:rFonts w:ascii="Helvetica" w:hAnsi="Helvetica" w:cs="ArialMT"/>
          <w:sz w:val="16"/>
          <w:szCs w:val="16"/>
        </w:rPr>
        <w:t>.</w:t>
      </w:r>
    </w:p>
    <w:p w14:paraId="6E974A68" w14:textId="77777777" w:rsidR="00A94E46" w:rsidRPr="00A94E46" w:rsidRDefault="00A94E46" w:rsidP="00A94E46">
      <w:pPr>
        <w:autoSpaceDE w:val="0"/>
        <w:autoSpaceDN w:val="0"/>
        <w:adjustRightInd w:val="0"/>
        <w:spacing w:after="0" w:line="240" w:lineRule="auto"/>
        <w:ind w:left="-810"/>
        <w:jc w:val="both"/>
        <w:rPr>
          <w:rFonts w:ascii="Helvetica" w:hAnsi="Helvetica" w:cs="ArialMT"/>
          <w:sz w:val="16"/>
          <w:szCs w:val="16"/>
        </w:rPr>
      </w:pPr>
      <w:r w:rsidRPr="00A94E46">
        <w:rPr>
          <w:rFonts w:ascii="Helvetica" w:hAnsi="Helvetica" w:cs="ArialMT"/>
          <w:sz w:val="16"/>
          <w:szCs w:val="16"/>
        </w:rPr>
        <w:t>Ces différents scénarios indiquent la façon dont votre investissement pourrait se comporter et vous permettent d’effectuer des comparaisons avec d’autres produits.</w:t>
      </w:r>
    </w:p>
    <w:p w14:paraId="57BDAD6F"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3D0E61BB" w14:textId="5F3B6802" w:rsidR="00A94E46" w:rsidRPr="00590855" w:rsidRDefault="00A94E46" w:rsidP="00A94E46">
      <w:pPr>
        <w:autoSpaceDE w:val="0"/>
        <w:autoSpaceDN w:val="0"/>
        <w:adjustRightInd w:val="0"/>
        <w:spacing w:after="0" w:line="240" w:lineRule="auto"/>
        <w:ind w:left="-810"/>
        <w:jc w:val="both"/>
        <w:rPr>
          <w:rFonts w:ascii="Helvetica" w:hAnsi="Helvetica" w:cs="ArialMT"/>
          <w:sz w:val="16"/>
          <w:szCs w:val="16"/>
        </w:rPr>
      </w:pPr>
      <w:r w:rsidRPr="00A94E46">
        <w:rPr>
          <w:rFonts w:ascii="Helvetica" w:hAnsi="Helvetica" w:cs="ArialMT"/>
          <w:sz w:val="16"/>
          <w:szCs w:val="16"/>
        </w:rPr>
        <w:t xml:space="preserve">Les scénarios présentés sont une estimation de performances futures à partir de données du passé relatives aux variations de la valeur de cet investissement. Ils ne constituent pas un indicateur exact. Ce que vous obtiendrez dépendra de l’évolution du marché et de la durée pendant laquelle vous conserverez l’investissement ou le produit, ainsi que de votre </w:t>
      </w:r>
      <w:r w:rsidRPr="00590855">
        <w:rPr>
          <w:rFonts w:ascii="Helvetica" w:hAnsi="Helvetica" w:cs="ArialMT"/>
          <w:sz w:val="16"/>
          <w:szCs w:val="16"/>
        </w:rPr>
        <w:t>fiscalité personnelle.</w:t>
      </w:r>
    </w:p>
    <w:p w14:paraId="084569D9" w14:textId="77777777" w:rsidR="00D62BEA" w:rsidRPr="0095405E" w:rsidRDefault="00D62BEA" w:rsidP="001D4553">
      <w:pPr>
        <w:autoSpaceDE w:val="0"/>
        <w:autoSpaceDN w:val="0"/>
        <w:adjustRightInd w:val="0"/>
        <w:spacing w:after="0" w:line="240" w:lineRule="auto"/>
        <w:jc w:val="both"/>
        <w:rPr>
          <w:rFonts w:ascii="Helvetica" w:hAnsi="Helvetica" w:cs="ArialMT"/>
          <w:sz w:val="16"/>
          <w:szCs w:val="16"/>
        </w:rPr>
      </w:pPr>
    </w:p>
    <w:p w14:paraId="078EBAF5" w14:textId="04C8F2E0" w:rsidR="00B070A4" w:rsidRPr="008604B0" w:rsidRDefault="00B070A4"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Que se passe-t-il si Quadrille Capital n’est pas en mesure d’effectuer les versements ?</w:t>
      </w:r>
    </w:p>
    <w:p w14:paraId="41C5B250" w14:textId="2FD16516" w:rsidR="00905367" w:rsidRPr="0095405E" w:rsidRDefault="0095405E" w:rsidP="00BA5489">
      <w:pPr>
        <w:autoSpaceDE w:val="0"/>
        <w:autoSpaceDN w:val="0"/>
        <w:adjustRightInd w:val="0"/>
        <w:spacing w:after="0" w:line="240" w:lineRule="auto"/>
        <w:ind w:left="-810"/>
        <w:jc w:val="both"/>
        <w:rPr>
          <w:rFonts w:ascii="Helvetica" w:hAnsi="Helvetica" w:cs="ArialMT"/>
          <w:sz w:val="16"/>
          <w:szCs w:val="16"/>
        </w:rPr>
      </w:pPr>
      <w:r w:rsidRPr="0095405E">
        <w:rPr>
          <w:rFonts w:ascii="Helvetica" w:hAnsi="Helvetica" w:cs="ArialMT"/>
          <w:sz w:val="16"/>
          <w:szCs w:val="16"/>
        </w:rPr>
        <w:t>Quadrille Capital</w:t>
      </w:r>
      <w:r w:rsidR="00905367" w:rsidRPr="0095405E">
        <w:rPr>
          <w:rFonts w:ascii="Helvetica" w:hAnsi="Helvetica" w:cs="ArialMT"/>
          <w:sz w:val="16"/>
          <w:szCs w:val="16"/>
        </w:rPr>
        <w:t xml:space="preserve"> est une société de gestion de portefeuille agréée et suivie par l'Autorité des Marchés Financiers et doit respecter des règles d'organisation et de fonctionnement notamment en matière de fonds propres. Les fonds de l'investisseur ou les revenus de l'OPC sont versés sur un ou plusieurs comptes bancaires ouverts au nom de l'OPC. Par conséquent, le défaut de </w:t>
      </w:r>
      <w:r w:rsidRPr="0095405E">
        <w:rPr>
          <w:rFonts w:ascii="Helvetica" w:hAnsi="Helvetica" w:cs="ArialMT"/>
          <w:sz w:val="16"/>
          <w:szCs w:val="16"/>
        </w:rPr>
        <w:t>Quadrille Capital</w:t>
      </w:r>
      <w:r w:rsidR="00905367" w:rsidRPr="0095405E">
        <w:rPr>
          <w:rFonts w:ascii="Helvetica" w:hAnsi="Helvetica" w:cs="ArialMT"/>
          <w:sz w:val="16"/>
          <w:szCs w:val="16"/>
        </w:rPr>
        <w:t xml:space="preserve"> n'aurait pas d'impact sur les actifs de l'OPC. L'OPC ne bénéficie pas d'un système d'indemnisation.</w:t>
      </w:r>
    </w:p>
    <w:p w14:paraId="31C4474B" w14:textId="77777777" w:rsidR="00905367" w:rsidRPr="00D92F99" w:rsidRDefault="00905367" w:rsidP="00BA5489">
      <w:pPr>
        <w:autoSpaceDE w:val="0"/>
        <w:autoSpaceDN w:val="0"/>
        <w:adjustRightInd w:val="0"/>
        <w:spacing w:after="0" w:line="240" w:lineRule="auto"/>
        <w:ind w:left="-810"/>
        <w:jc w:val="both"/>
        <w:rPr>
          <w:rFonts w:ascii="Helvetica" w:hAnsi="Helvetica" w:cs="ArialMT"/>
          <w:sz w:val="16"/>
          <w:szCs w:val="16"/>
        </w:rPr>
      </w:pPr>
    </w:p>
    <w:p w14:paraId="53156944" w14:textId="77777777" w:rsidR="00263DCB" w:rsidRDefault="00263DCB"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sectPr w:rsidR="00263DCB" w:rsidSect="00DC20FD">
          <w:type w:val="continuous"/>
          <w:pgSz w:w="11905" w:h="16837"/>
          <w:pgMar w:top="951" w:right="205" w:bottom="709" w:left="1080" w:header="403" w:footer="403" w:gutter="0"/>
          <w:cols w:space="720"/>
          <w:noEndnote/>
          <w:titlePg/>
          <w:docGrid w:linePitch="299"/>
        </w:sectPr>
      </w:pPr>
    </w:p>
    <w:p w14:paraId="09A6EBD9" w14:textId="10F2F108" w:rsidR="00B070A4" w:rsidRPr="00D92F99" w:rsidRDefault="00B070A4"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D92F99">
        <w:rPr>
          <w:rFonts w:ascii="Helvetica" w:hAnsi="Helvetica" w:cs="Arial-BoldMT"/>
          <w:b/>
          <w:color w:val="1F497D" w:themeColor="text2"/>
          <w:sz w:val="18"/>
          <w:szCs w:val="18"/>
        </w:rPr>
        <w:lastRenderedPageBreak/>
        <w:t>Que va me coûter cet investissement ?</w:t>
      </w:r>
    </w:p>
    <w:p w14:paraId="0D65CDBD" w14:textId="45503EEA" w:rsidR="00905367" w:rsidRDefault="00905367" w:rsidP="00BA5489">
      <w:pPr>
        <w:autoSpaceDE w:val="0"/>
        <w:autoSpaceDN w:val="0"/>
        <w:adjustRightInd w:val="0"/>
        <w:spacing w:after="0" w:line="240" w:lineRule="auto"/>
        <w:ind w:left="-810"/>
        <w:jc w:val="both"/>
        <w:rPr>
          <w:rFonts w:ascii="Helvetica" w:hAnsi="Helvetica" w:cs="ArialMT"/>
          <w:sz w:val="16"/>
          <w:szCs w:val="16"/>
        </w:rPr>
      </w:pPr>
      <w:r w:rsidRPr="00D92F99">
        <w:rPr>
          <w:rFonts w:ascii="Helvetica" w:hAnsi="Helvetica" w:cs="ArialMT"/>
          <w:sz w:val="16"/>
          <w:szCs w:val="16"/>
        </w:rPr>
        <w:t>Il se peut que la personne qui vous vend ce produit ou qui vous fournit des conseils à son sujet vous demande de payer des coûts supplémentaires. Si c’est le cas, cette personne vous</w:t>
      </w:r>
      <w:r w:rsidRPr="00905367">
        <w:rPr>
          <w:rFonts w:ascii="Helvetica" w:hAnsi="Helvetica" w:cs="ArialMT"/>
          <w:sz w:val="16"/>
          <w:szCs w:val="16"/>
        </w:rPr>
        <w:t xml:space="preserve"> informera au sujet de ces coûts et vous montrera l’incidence de ces coûts sur votre investissement.</w:t>
      </w:r>
    </w:p>
    <w:p w14:paraId="22B34DBF"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5BD7CDEF" w14:textId="77777777" w:rsidR="00DF4890" w:rsidRPr="00DF4890" w:rsidRDefault="00DF4890" w:rsidP="00DF4890">
      <w:pPr>
        <w:autoSpaceDE w:val="0"/>
        <w:autoSpaceDN w:val="0"/>
        <w:adjustRightInd w:val="0"/>
        <w:spacing w:after="0" w:line="240" w:lineRule="auto"/>
        <w:ind w:left="-810"/>
        <w:jc w:val="both"/>
        <w:rPr>
          <w:rFonts w:ascii="Helvetica" w:hAnsi="Helvetica" w:cs="ArialMT"/>
          <w:b/>
          <w:bCs/>
          <w:color w:val="1F497D" w:themeColor="text2"/>
          <w:sz w:val="16"/>
          <w:szCs w:val="16"/>
        </w:rPr>
      </w:pPr>
      <w:r w:rsidRPr="00DF4890">
        <w:rPr>
          <w:rFonts w:ascii="Helvetica" w:hAnsi="Helvetica" w:cs="ArialMT"/>
          <w:b/>
          <w:bCs/>
          <w:color w:val="1F497D" w:themeColor="text2"/>
          <w:sz w:val="16"/>
          <w:szCs w:val="16"/>
        </w:rPr>
        <w:t>Coûts au fil du temps (montants exprimés en Euros) :</w:t>
      </w:r>
    </w:p>
    <w:p w14:paraId="01041ECC" w14:textId="77777777" w:rsidR="00DF4890" w:rsidRPr="00DF4890" w:rsidRDefault="00DF4890" w:rsidP="00DF4890">
      <w:pPr>
        <w:autoSpaceDE w:val="0"/>
        <w:autoSpaceDN w:val="0"/>
        <w:adjustRightInd w:val="0"/>
        <w:spacing w:after="0" w:line="240" w:lineRule="auto"/>
        <w:ind w:left="-810"/>
        <w:jc w:val="both"/>
        <w:rPr>
          <w:rFonts w:ascii="Helvetica" w:hAnsi="Helvetica" w:cs="ArialMT"/>
          <w:sz w:val="16"/>
          <w:szCs w:val="16"/>
        </w:rPr>
      </w:pPr>
      <w:r w:rsidRPr="00DF4890">
        <w:rPr>
          <w:rFonts w:ascii="Helvetica" w:hAnsi="Helvetica" w:cs="ArialMT"/>
          <w:sz w:val="16"/>
          <w:szCs w:val="16"/>
        </w:rPr>
        <w:t>Les tableaux présentent les montants prélevés sur votre investissement afin de couvrir les différents types de coûts. Ces montants dépendent du montant que vous investissez, du temps pendant lequel vous détenez le produit et du rendement du produit. Les montants indiqués ici sont des illustrations basées sur un exemple de montant d’investissement et différentes périodes d’investissement possibles.</w:t>
      </w:r>
    </w:p>
    <w:p w14:paraId="161E2AD7" w14:textId="77777777" w:rsidR="00DF4890" w:rsidRPr="00DF4890" w:rsidRDefault="00DF4890" w:rsidP="00DF4890">
      <w:pPr>
        <w:autoSpaceDE w:val="0"/>
        <w:autoSpaceDN w:val="0"/>
        <w:adjustRightInd w:val="0"/>
        <w:spacing w:after="0" w:line="240" w:lineRule="auto"/>
        <w:ind w:left="-810"/>
        <w:jc w:val="both"/>
        <w:rPr>
          <w:rFonts w:ascii="Helvetica" w:hAnsi="Helvetica" w:cs="ArialMT"/>
          <w:sz w:val="16"/>
          <w:szCs w:val="16"/>
        </w:rPr>
      </w:pPr>
      <w:r w:rsidRPr="00DF4890">
        <w:rPr>
          <w:rFonts w:ascii="Helvetica" w:hAnsi="Helvetica" w:cs="ArialMT"/>
          <w:sz w:val="16"/>
          <w:szCs w:val="16"/>
        </w:rPr>
        <w:t>Nous avons supposé :</w:t>
      </w:r>
    </w:p>
    <w:p w14:paraId="1E5E2C76" w14:textId="5A26007A" w:rsidR="00DF4890" w:rsidRDefault="00DF4890" w:rsidP="00801573">
      <w:pPr>
        <w:pStyle w:val="ListParagraph"/>
        <w:numPr>
          <w:ilvl w:val="0"/>
          <w:numId w:val="12"/>
        </w:numPr>
        <w:autoSpaceDE w:val="0"/>
        <w:autoSpaceDN w:val="0"/>
        <w:adjustRightInd w:val="0"/>
        <w:spacing w:after="0" w:line="240" w:lineRule="auto"/>
        <w:jc w:val="both"/>
        <w:rPr>
          <w:rFonts w:ascii="Helvetica" w:hAnsi="Helvetica" w:cs="ArialMT"/>
          <w:sz w:val="16"/>
          <w:szCs w:val="16"/>
        </w:rPr>
      </w:pPr>
      <w:r w:rsidRPr="00DF4890">
        <w:rPr>
          <w:rFonts w:ascii="Helvetica" w:hAnsi="Helvetica" w:cs="ArialMT"/>
          <w:sz w:val="16"/>
          <w:szCs w:val="16"/>
        </w:rPr>
        <w:t>qu’au cours de la première année vous récupéreriez le montant que vous avez investi (rendement annuel de 0 %)</w:t>
      </w:r>
      <w:r>
        <w:rPr>
          <w:rFonts w:ascii="Helvetica" w:hAnsi="Helvetica" w:cs="ArialMT"/>
          <w:sz w:val="16"/>
          <w:szCs w:val="16"/>
        </w:rPr>
        <w:t xml:space="preserve">. </w:t>
      </w:r>
      <w:r w:rsidRPr="00DF4890">
        <w:rPr>
          <w:rFonts w:ascii="Helvetica" w:hAnsi="Helvetica" w:cs="ArialMT"/>
          <w:sz w:val="16"/>
          <w:szCs w:val="16"/>
        </w:rPr>
        <w:t>Que pour les autres périodes de détention, le produit évolue de la manière indiquée dans le scénario intermédiaire.</w:t>
      </w:r>
    </w:p>
    <w:p w14:paraId="34B95A8E" w14:textId="2469D78A" w:rsidR="0069504A" w:rsidRPr="00523115" w:rsidRDefault="00DF4890" w:rsidP="00C20913">
      <w:pPr>
        <w:pStyle w:val="ListParagraph"/>
        <w:numPr>
          <w:ilvl w:val="0"/>
          <w:numId w:val="12"/>
        </w:numPr>
        <w:autoSpaceDE w:val="0"/>
        <w:autoSpaceDN w:val="0"/>
        <w:adjustRightInd w:val="0"/>
        <w:spacing w:after="0" w:line="240" w:lineRule="auto"/>
        <w:jc w:val="both"/>
        <w:rPr>
          <w:rFonts w:ascii="Helvetica" w:eastAsia="Arial Narrow" w:hAnsi="Helvetica" w:cs="Helvetica"/>
          <w:sz w:val="16"/>
          <w:szCs w:val="16"/>
          <w:lang w:eastAsia="en-US"/>
        </w:rPr>
      </w:pPr>
      <w:r w:rsidRPr="00ED42FB">
        <w:rPr>
          <w:rFonts w:ascii="Helvetica" w:hAnsi="Helvetica" w:cs="ArialMT"/>
          <w:sz w:val="16"/>
          <w:szCs w:val="16"/>
        </w:rPr>
        <w:t>10 000 EUR sont investis.</w:t>
      </w:r>
    </w:p>
    <w:p w14:paraId="0B7E9C28" w14:textId="77777777" w:rsidR="00523115" w:rsidRPr="00ED42FB" w:rsidRDefault="00523115" w:rsidP="00523115">
      <w:pPr>
        <w:pStyle w:val="ListParagraph"/>
        <w:autoSpaceDE w:val="0"/>
        <w:autoSpaceDN w:val="0"/>
        <w:adjustRightInd w:val="0"/>
        <w:spacing w:after="0" w:line="240" w:lineRule="auto"/>
        <w:ind w:left="-90"/>
        <w:jc w:val="both"/>
        <w:rPr>
          <w:rFonts w:ascii="Helvetica" w:eastAsia="Arial Narrow" w:hAnsi="Helvetica" w:cs="Helvetica"/>
          <w:sz w:val="16"/>
          <w:szCs w:val="16"/>
          <w:lang w:eastAsia="en-US"/>
        </w:rPr>
      </w:pPr>
    </w:p>
    <w:tbl>
      <w:tblPr>
        <w:tblW w:w="0" w:type="auto"/>
        <w:tblInd w:w="-810" w:type="dxa"/>
        <w:tblLayout w:type="fixed"/>
        <w:tblCellMar>
          <w:left w:w="0" w:type="dxa"/>
          <w:right w:w="0" w:type="dxa"/>
        </w:tblCellMar>
        <w:tblLook w:val="01E0" w:firstRow="1" w:lastRow="1" w:firstColumn="1" w:lastColumn="1" w:noHBand="0" w:noVBand="0"/>
      </w:tblPr>
      <w:tblGrid>
        <w:gridCol w:w="5001"/>
        <w:gridCol w:w="3996"/>
        <w:gridCol w:w="2109"/>
      </w:tblGrid>
      <w:tr w:rsidR="00A1311D" w:rsidRPr="00A1311D" w14:paraId="2AF05F1D" w14:textId="77777777" w:rsidTr="00C90BF6">
        <w:trPr>
          <w:trHeight w:val="490"/>
        </w:trPr>
        <w:tc>
          <w:tcPr>
            <w:tcW w:w="5001" w:type="dxa"/>
            <w:vMerge w:val="restart"/>
            <w:shd w:val="clear" w:color="auto" w:fill="1F497D" w:themeFill="text2"/>
          </w:tcPr>
          <w:p w14:paraId="45D3D719" w14:textId="77777777" w:rsidR="00A1311D" w:rsidRPr="00A1311D" w:rsidRDefault="00A1311D" w:rsidP="00210C23">
            <w:pPr>
              <w:pStyle w:val="TableParagraph"/>
              <w:spacing w:before="0"/>
              <w:rPr>
                <w:rFonts w:ascii="Helvetica" w:hAnsi="Helvetica" w:cs="Helvetica"/>
                <w:sz w:val="16"/>
                <w:szCs w:val="16"/>
              </w:rPr>
            </w:pPr>
          </w:p>
        </w:tc>
        <w:tc>
          <w:tcPr>
            <w:tcW w:w="3996" w:type="dxa"/>
            <w:shd w:val="clear" w:color="auto" w:fill="1F497D" w:themeFill="text2"/>
          </w:tcPr>
          <w:p w14:paraId="070A4B1A" w14:textId="73A731B6" w:rsidR="00A1311D" w:rsidRPr="00C90BF6" w:rsidRDefault="00C90BF6" w:rsidP="00210C23">
            <w:pPr>
              <w:pStyle w:val="TableParagraph"/>
              <w:spacing w:before="34" w:line="209" w:lineRule="exact"/>
              <w:ind w:left="2562" w:right="353"/>
              <w:jc w:val="center"/>
              <w:rPr>
                <w:rFonts w:ascii="Helvetica" w:hAnsi="Helvetica" w:cs="Helvetica"/>
                <w:b/>
                <w:bCs/>
                <w:sz w:val="16"/>
                <w:szCs w:val="16"/>
              </w:rPr>
            </w:pPr>
            <w:r>
              <w:rPr>
                <w:rFonts w:ascii="Helvetica" w:hAnsi="Helvetica" w:cs="Helvetica"/>
                <w:b/>
                <w:bCs/>
                <w:color w:val="FFFFFF"/>
                <w:w w:val="85"/>
                <w:sz w:val="16"/>
                <w:szCs w:val="16"/>
              </w:rPr>
              <w:t>Si vous sortez après 1 an</w:t>
            </w:r>
          </w:p>
        </w:tc>
        <w:tc>
          <w:tcPr>
            <w:tcW w:w="2109" w:type="dxa"/>
            <w:shd w:val="clear" w:color="auto" w:fill="1F497D" w:themeFill="text2"/>
          </w:tcPr>
          <w:p w14:paraId="24E132C9" w14:textId="77777777" w:rsidR="00C90BF6" w:rsidRDefault="00C90BF6" w:rsidP="00C90BF6">
            <w:pPr>
              <w:pStyle w:val="TableParagraph"/>
              <w:spacing w:before="34" w:line="209" w:lineRule="exact"/>
              <w:ind w:left="0"/>
              <w:jc w:val="center"/>
              <w:rPr>
                <w:rFonts w:ascii="Helvetica" w:hAnsi="Helvetica" w:cs="Helvetica"/>
                <w:b/>
                <w:bCs/>
                <w:color w:val="FFFFFF"/>
                <w:w w:val="85"/>
                <w:sz w:val="16"/>
                <w:szCs w:val="16"/>
              </w:rPr>
            </w:pPr>
            <w:r>
              <w:rPr>
                <w:rFonts w:ascii="Helvetica" w:hAnsi="Helvetica" w:cs="Helvetica"/>
                <w:b/>
                <w:bCs/>
                <w:color w:val="FFFFFF"/>
                <w:w w:val="85"/>
                <w:sz w:val="16"/>
                <w:szCs w:val="16"/>
              </w:rPr>
              <w:t>Si vous sortez</w:t>
            </w:r>
          </w:p>
          <w:p w14:paraId="7D43BE81" w14:textId="641C1868" w:rsidR="00A1311D" w:rsidRPr="00C90BF6" w:rsidRDefault="00C90BF6" w:rsidP="00C90BF6">
            <w:pPr>
              <w:pStyle w:val="TableParagraph"/>
              <w:spacing w:before="34" w:line="209" w:lineRule="exact"/>
              <w:ind w:left="0"/>
              <w:jc w:val="center"/>
              <w:rPr>
                <w:rFonts w:ascii="Helvetica" w:hAnsi="Helvetica" w:cs="Helvetica"/>
                <w:b/>
                <w:bCs/>
                <w:sz w:val="16"/>
                <w:szCs w:val="16"/>
              </w:rPr>
            </w:pPr>
            <w:r>
              <w:rPr>
                <w:rFonts w:ascii="Helvetica" w:hAnsi="Helvetica" w:cs="Helvetica"/>
                <w:b/>
                <w:bCs/>
                <w:color w:val="FFFFFF"/>
                <w:w w:val="85"/>
                <w:sz w:val="16"/>
                <w:szCs w:val="16"/>
              </w:rPr>
              <w:t>après 5 ans</w:t>
            </w:r>
          </w:p>
        </w:tc>
      </w:tr>
      <w:tr w:rsidR="00A1311D" w:rsidRPr="00A1311D" w14:paraId="4F0C3CB4" w14:textId="77777777" w:rsidTr="00C90BF6">
        <w:trPr>
          <w:trHeight w:val="207"/>
        </w:trPr>
        <w:tc>
          <w:tcPr>
            <w:tcW w:w="5001" w:type="dxa"/>
            <w:vMerge/>
            <w:tcBorders>
              <w:top w:val="nil"/>
            </w:tcBorders>
            <w:shd w:val="clear" w:color="auto" w:fill="1F497D" w:themeFill="text2"/>
          </w:tcPr>
          <w:p w14:paraId="627DA5F0" w14:textId="77777777" w:rsidR="00A1311D" w:rsidRPr="00A1311D" w:rsidRDefault="00A1311D" w:rsidP="00210C23">
            <w:pPr>
              <w:rPr>
                <w:rFonts w:ascii="Helvetica" w:hAnsi="Helvetica" w:cs="Helvetica"/>
                <w:sz w:val="16"/>
                <w:szCs w:val="16"/>
              </w:rPr>
            </w:pPr>
          </w:p>
        </w:tc>
        <w:tc>
          <w:tcPr>
            <w:tcW w:w="3996" w:type="dxa"/>
            <w:shd w:val="clear" w:color="auto" w:fill="1F497D" w:themeFill="text2"/>
          </w:tcPr>
          <w:p w14:paraId="0953D031" w14:textId="77777777" w:rsidR="00A1311D" w:rsidRPr="00C90BF6" w:rsidRDefault="00A1311D" w:rsidP="00210C23">
            <w:pPr>
              <w:pStyle w:val="TableParagraph"/>
              <w:spacing w:before="0"/>
              <w:rPr>
                <w:rFonts w:ascii="Helvetica" w:hAnsi="Helvetica" w:cs="Helvetica"/>
                <w:b/>
                <w:bCs/>
                <w:sz w:val="16"/>
                <w:szCs w:val="16"/>
              </w:rPr>
            </w:pPr>
          </w:p>
        </w:tc>
        <w:tc>
          <w:tcPr>
            <w:tcW w:w="2109" w:type="dxa"/>
            <w:shd w:val="clear" w:color="auto" w:fill="1F497D" w:themeFill="text2"/>
          </w:tcPr>
          <w:p w14:paraId="6F669FC5" w14:textId="19790CE0" w:rsidR="00A1311D" w:rsidRPr="00C90BF6" w:rsidRDefault="00C90BF6" w:rsidP="00210C23">
            <w:pPr>
              <w:pStyle w:val="TableParagraph"/>
              <w:spacing w:before="0" w:line="188" w:lineRule="exact"/>
              <w:ind w:left="321" w:right="217"/>
              <w:jc w:val="center"/>
              <w:rPr>
                <w:rFonts w:ascii="Helvetica" w:hAnsi="Helvetica" w:cs="Helvetica"/>
                <w:b/>
                <w:bCs/>
                <w:sz w:val="12"/>
                <w:szCs w:val="12"/>
              </w:rPr>
            </w:pPr>
            <w:r w:rsidRPr="00C90BF6">
              <w:rPr>
                <w:rFonts w:ascii="Helvetica" w:hAnsi="Helvetica" w:cs="Helvetica"/>
                <w:b/>
                <w:bCs/>
                <w:color w:val="FFFFFF"/>
                <w:w w:val="90"/>
                <w:sz w:val="12"/>
                <w:szCs w:val="12"/>
              </w:rPr>
              <w:t>(Période de détention recommandée)</w:t>
            </w:r>
          </w:p>
        </w:tc>
      </w:tr>
      <w:tr w:rsidR="00A1311D" w:rsidRPr="00FB7519" w14:paraId="6D5A94B6" w14:textId="77777777" w:rsidTr="00A1311D">
        <w:trPr>
          <w:trHeight w:val="304"/>
        </w:trPr>
        <w:tc>
          <w:tcPr>
            <w:tcW w:w="5001" w:type="dxa"/>
            <w:tcBorders>
              <w:bottom w:val="single" w:sz="4" w:space="0" w:color="A5B4DE"/>
            </w:tcBorders>
          </w:tcPr>
          <w:p w14:paraId="11039A30" w14:textId="0BB090D4" w:rsidR="00A1311D" w:rsidRPr="00FB7519" w:rsidRDefault="00936BE5" w:rsidP="00210C23">
            <w:pPr>
              <w:pStyle w:val="TableParagraph"/>
              <w:spacing w:before="52"/>
              <w:ind w:left="50"/>
              <w:rPr>
                <w:rFonts w:ascii="Helvetica" w:hAnsi="Helvetica" w:cs="Helvetica"/>
                <w:b/>
                <w:sz w:val="16"/>
                <w:szCs w:val="16"/>
              </w:rPr>
            </w:pPr>
            <w:r w:rsidRPr="004F6268">
              <w:rPr>
                <w:rFonts w:ascii="Helvetica" w:hAnsi="Helvetica" w:cs="Helvetica"/>
                <w:b/>
                <w:sz w:val="16"/>
                <w:szCs w:val="16"/>
              </w:rPr>
              <w:t>Coûts</w:t>
            </w:r>
            <w:r w:rsidRPr="004F6268">
              <w:rPr>
                <w:rFonts w:ascii="Helvetica" w:hAnsi="Helvetica" w:cs="Helvetica"/>
                <w:b/>
                <w:spacing w:val="-4"/>
                <w:sz w:val="16"/>
                <w:szCs w:val="16"/>
              </w:rPr>
              <w:t xml:space="preserve"> </w:t>
            </w:r>
            <w:r w:rsidRPr="004F6268">
              <w:rPr>
                <w:rFonts w:ascii="Helvetica" w:hAnsi="Helvetica" w:cs="Helvetica"/>
                <w:b/>
                <w:spacing w:val="-2"/>
                <w:sz w:val="16"/>
                <w:szCs w:val="16"/>
              </w:rPr>
              <w:t>totaux</w:t>
            </w:r>
            <w:r>
              <w:rPr>
                <w:rFonts w:ascii="Helvetica" w:hAnsi="Helvetica" w:cs="Helvetica"/>
                <w:b/>
                <w:spacing w:val="-2"/>
                <w:sz w:val="16"/>
                <w:szCs w:val="16"/>
              </w:rPr>
              <w:t xml:space="preserve"> (incluant les coûts du Fonds Maître)</w:t>
            </w:r>
          </w:p>
        </w:tc>
        <w:tc>
          <w:tcPr>
            <w:tcW w:w="3996" w:type="dxa"/>
            <w:tcBorders>
              <w:bottom w:val="single" w:sz="4" w:space="0" w:color="A5B4DE"/>
            </w:tcBorders>
          </w:tcPr>
          <w:p w14:paraId="523EE06E" w14:textId="061E5076" w:rsidR="00A1311D" w:rsidRPr="00A31FB6" w:rsidRDefault="00753724" w:rsidP="00210C23">
            <w:pPr>
              <w:pStyle w:val="TableParagraph"/>
              <w:spacing w:before="52"/>
              <w:ind w:right="715"/>
              <w:jc w:val="right"/>
              <w:rPr>
                <w:rFonts w:ascii="Helvetica" w:hAnsi="Helvetica" w:cs="Helvetica"/>
                <w:b/>
                <w:sz w:val="16"/>
                <w:szCs w:val="16"/>
              </w:rPr>
            </w:pPr>
            <w:r w:rsidRPr="00A31FB6">
              <w:rPr>
                <w:rFonts w:ascii="Helvetica" w:hAnsi="Helvetica" w:cs="Helvetica"/>
                <w:b/>
                <w:spacing w:val="-10"/>
                <w:sz w:val="16"/>
                <w:szCs w:val="16"/>
              </w:rPr>
              <w:t>246</w:t>
            </w:r>
            <w:r w:rsidR="00FB7519" w:rsidRPr="00A31FB6">
              <w:rPr>
                <w:rFonts w:ascii="Helvetica" w:hAnsi="Helvetica" w:cs="Helvetica"/>
                <w:b/>
                <w:spacing w:val="-10"/>
                <w:sz w:val="16"/>
                <w:szCs w:val="16"/>
              </w:rPr>
              <w:t xml:space="preserve"> </w:t>
            </w:r>
            <w:r w:rsidR="00A1311D" w:rsidRPr="00A31FB6">
              <w:rPr>
                <w:rFonts w:ascii="Helvetica" w:hAnsi="Helvetica" w:cs="Helvetica"/>
                <w:b/>
                <w:spacing w:val="-10"/>
                <w:sz w:val="16"/>
                <w:szCs w:val="16"/>
              </w:rPr>
              <w:t>€</w:t>
            </w:r>
          </w:p>
        </w:tc>
        <w:tc>
          <w:tcPr>
            <w:tcW w:w="2109" w:type="dxa"/>
            <w:tcBorders>
              <w:bottom w:val="single" w:sz="4" w:space="0" w:color="A5B4DE"/>
            </w:tcBorders>
          </w:tcPr>
          <w:p w14:paraId="5134B041" w14:textId="66939C3C" w:rsidR="00A1311D" w:rsidRPr="00A31FB6" w:rsidRDefault="00A31FB6" w:rsidP="00210C23">
            <w:pPr>
              <w:pStyle w:val="TableParagraph"/>
              <w:spacing w:before="52"/>
              <w:ind w:left="223" w:right="217"/>
              <w:jc w:val="center"/>
              <w:rPr>
                <w:rFonts w:ascii="Helvetica" w:hAnsi="Helvetica" w:cs="Helvetica"/>
                <w:b/>
                <w:sz w:val="16"/>
                <w:szCs w:val="16"/>
              </w:rPr>
            </w:pPr>
            <w:r w:rsidRPr="00A31FB6">
              <w:rPr>
                <w:rFonts w:ascii="Helvetica" w:hAnsi="Helvetica" w:cs="Helvetica"/>
                <w:b/>
                <w:spacing w:val="-10"/>
                <w:sz w:val="16"/>
                <w:szCs w:val="16"/>
              </w:rPr>
              <w:t>1 365</w:t>
            </w:r>
            <w:r w:rsidR="00FB7519" w:rsidRPr="00A31FB6">
              <w:rPr>
                <w:rFonts w:ascii="Helvetica" w:hAnsi="Helvetica" w:cs="Helvetica"/>
                <w:b/>
                <w:spacing w:val="-10"/>
                <w:sz w:val="16"/>
                <w:szCs w:val="16"/>
              </w:rPr>
              <w:t xml:space="preserve"> </w:t>
            </w:r>
            <w:r w:rsidR="00A1311D" w:rsidRPr="00A31FB6">
              <w:rPr>
                <w:rFonts w:ascii="Helvetica" w:hAnsi="Helvetica" w:cs="Helvetica"/>
                <w:b/>
                <w:spacing w:val="-10"/>
                <w:sz w:val="16"/>
                <w:szCs w:val="16"/>
              </w:rPr>
              <w:t>€</w:t>
            </w:r>
          </w:p>
        </w:tc>
      </w:tr>
      <w:tr w:rsidR="00A1311D" w:rsidRPr="00FB7519" w14:paraId="5FB7E29A" w14:textId="77777777" w:rsidTr="00A1311D">
        <w:trPr>
          <w:trHeight w:val="304"/>
        </w:trPr>
        <w:tc>
          <w:tcPr>
            <w:tcW w:w="5001" w:type="dxa"/>
            <w:tcBorders>
              <w:top w:val="single" w:sz="4" w:space="0" w:color="A5B4DE"/>
              <w:bottom w:val="single" w:sz="4" w:space="0" w:color="A5B4DE"/>
            </w:tcBorders>
          </w:tcPr>
          <w:p w14:paraId="470807EC" w14:textId="77777777" w:rsidR="00A1311D" w:rsidRPr="00FB7519" w:rsidRDefault="00A1311D" w:rsidP="00210C23">
            <w:pPr>
              <w:pStyle w:val="TableParagraph"/>
              <w:ind w:left="50"/>
              <w:rPr>
                <w:rFonts w:ascii="Helvetica" w:hAnsi="Helvetica" w:cs="Helvetica"/>
                <w:b/>
                <w:sz w:val="16"/>
                <w:szCs w:val="16"/>
              </w:rPr>
            </w:pPr>
            <w:r w:rsidRPr="00FB7519">
              <w:rPr>
                <w:rFonts w:ascii="Helvetica" w:hAnsi="Helvetica" w:cs="Helvetica"/>
                <w:b/>
                <w:sz w:val="16"/>
                <w:szCs w:val="16"/>
              </w:rPr>
              <w:t>Incidence</w:t>
            </w:r>
            <w:r w:rsidRPr="00FB7519">
              <w:rPr>
                <w:rFonts w:ascii="Helvetica" w:hAnsi="Helvetica" w:cs="Helvetica"/>
                <w:b/>
                <w:spacing w:val="-4"/>
                <w:sz w:val="16"/>
                <w:szCs w:val="16"/>
              </w:rPr>
              <w:t xml:space="preserve"> </w:t>
            </w:r>
            <w:r w:rsidRPr="00FB7519">
              <w:rPr>
                <w:rFonts w:ascii="Helvetica" w:hAnsi="Helvetica" w:cs="Helvetica"/>
                <w:b/>
                <w:sz w:val="16"/>
                <w:szCs w:val="16"/>
              </w:rPr>
              <w:t>des</w:t>
            </w:r>
            <w:r w:rsidRPr="00FB7519">
              <w:rPr>
                <w:rFonts w:ascii="Helvetica" w:hAnsi="Helvetica" w:cs="Helvetica"/>
                <w:b/>
                <w:spacing w:val="-3"/>
                <w:sz w:val="16"/>
                <w:szCs w:val="16"/>
              </w:rPr>
              <w:t xml:space="preserve"> </w:t>
            </w:r>
            <w:r w:rsidRPr="00FB7519">
              <w:rPr>
                <w:rFonts w:ascii="Helvetica" w:hAnsi="Helvetica" w:cs="Helvetica"/>
                <w:b/>
                <w:sz w:val="16"/>
                <w:szCs w:val="16"/>
              </w:rPr>
              <w:t>coûts</w:t>
            </w:r>
            <w:r w:rsidRPr="00FB7519">
              <w:rPr>
                <w:rFonts w:ascii="Helvetica" w:hAnsi="Helvetica" w:cs="Helvetica"/>
                <w:b/>
                <w:spacing w:val="-3"/>
                <w:sz w:val="16"/>
                <w:szCs w:val="16"/>
              </w:rPr>
              <w:t xml:space="preserve"> </w:t>
            </w:r>
            <w:r w:rsidRPr="00FB7519">
              <w:rPr>
                <w:rFonts w:ascii="Helvetica" w:hAnsi="Helvetica" w:cs="Helvetica"/>
                <w:b/>
                <w:sz w:val="16"/>
                <w:szCs w:val="16"/>
              </w:rPr>
              <w:t>annuels</w:t>
            </w:r>
            <w:r w:rsidRPr="00FB7519">
              <w:rPr>
                <w:rFonts w:ascii="Helvetica" w:hAnsi="Helvetica" w:cs="Helvetica"/>
                <w:b/>
                <w:spacing w:val="-2"/>
                <w:sz w:val="16"/>
                <w:szCs w:val="16"/>
              </w:rPr>
              <w:t xml:space="preserve"> </w:t>
            </w:r>
            <w:r w:rsidRPr="00FB7519">
              <w:rPr>
                <w:rFonts w:ascii="Helvetica" w:hAnsi="Helvetica" w:cs="Helvetica"/>
                <w:b/>
                <w:spacing w:val="-5"/>
                <w:sz w:val="16"/>
                <w:szCs w:val="16"/>
              </w:rPr>
              <w:t>(*)</w:t>
            </w:r>
          </w:p>
        </w:tc>
        <w:tc>
          <w:tcPr>
            <w:tcW w:w="3996" w:type="dxa"/>
            <w:tcBorders>
              <w:top w:val="single" w:sz="4" w:space="0" w:color="A5B4DE"/>
              <w:bottom w:val="single" w:sz="4" w:space="0" w:color="A5B4DE"/>
            </w:tcBorders>
          </w:tcPr>
          <w:p w14:paraId="1A24C1AD" w14:textId="182DD262" w:rsidR="00A1311D" w:rsidRPr="00A31FB6" w:rsidRDefault="00753724" w:rsidP="001125C5">
            <w:pPr>
              <w:pStyle w:val="TableParagraph"/>
              <w:spacing w:before="54"/>
              <w:ind w:right="690"/>
              <w:jc w:val="right"/>
              <w:rPr>
                <w:rFonts w:ascii="Helvetica" w:hAnsi="Helvetica" w:cs="Helvetica"/>
                <w:spacing w:val="-2"/>
                <w:sz w:val="16"/>
                <w:szCs w:val="16"/>
              </w:rPr>
            </w:pPr>
            <w:r w:rsidRPr="00A31FB6">
              <w:rPr>
                <w:rFonts w:ascii="Helvetica" w:hAnsi="Helvetica" w:cs="Helvetica"/>
                <w:spacing w:val="-2"/>
                <w:sz w:val="16"/>
                <w:szCs w:val="16"/>
              </w:rPr>
              <w:t>2</w:t>
            </w:r>
            <w:r w:rsidR="00C6404A" w:rsidRPr="00A31FB6">
              <w:rPr>
                <w:rFonts w:ascii="Helvetica" w:hAnsi="Helvetica" w:cs="Helvetica"/>
                <w:spacing w:val="-2"/>
                <w:sz w:val="16"/>
                <w:szCs w:val="16"/>
              </w:rPr>
              <w:t>,</w:t>
            </w:r>
            <w:r w:rsidRPr="00A31FB6">
              <w:rPr>
                <w:rFonts w:ascii="Helvetica" w:hAnsi="Helvetica" w:cs="Helvetica"/>
                <w:spacing w:val="-2"/>
                <w:sz w:val="16"/>
                <w:szCs w:val="16"/>
              </w:rPr>
              <w:t>46</w:t>
            </w:r>
            <w:r w:rsidR="00A1311D" w:rsidRPr="00A31FB6">
              <w:rPr>
                <w:rFonts w:ascii="Helvetica" w:hAnsi="Helvetica" w:cs="Helvetica"/>
                <w:spacing w:val="-2"/>
                <w:sz w:val="16"/>
                <w:szCs w:val="16"/>
              </w:rPr>
              <w:t>%</w:t>
            </w:r>
          </w:p>
        </w:tc>
        <w:tc>
          <w:tcPr>
            <w:tcW w:w="2109" w:type="dxa"/>
            <w:tcBorders>
              <w:top w:val="single" w:sz="4" w:space="0" w:color="A5B4DE"/>
              <w:bottom w:val="single" w:sz="4" w:space="0" w:color="A5B4DE"/>
            </w:tcBorders>
          </w:tcPr>
          <w:p w14:paraId="0F26D4A1" w14:textId="1F61D7D3" w:rsidR="00A1311D" w:rsidRPr="00A31FB6" w:rsidRDefault="00A31FB6" w:rsidP="00210C23">
            <w:pPr>
              <w:pStyle w:val="TableParagraph"/>
              <w:spacing w:before="54"/>
              <w:ind w:left="355" w:right="216"/>
              <w:jc w:val="center"/>
              <w:rPr>
                <w:rFonts w:ascii="Helvetica" w:hAnsi="Helvetica" w:cs="Helvetica"/>
                <w:sz w:val="16"/>
                <w:szCs w:val="16"/>
              </w:rPr>
            </w:pPr>
            <w:r w:rsidRPr="00A31FB6">
              <w:rPr>
                <w:rFonts w:ascii="Helvetica" w:hAnsi="Helvetica" w:cs="Helvetica"/>
                <w:sz w:val="16"/>
                <w:szCs w:val="16"/>
              </w:rPr>
              <w:t>2</w:t>
            </w:r>
            <w:r w:rsidR="00FB7519" w:rsidRPr="00A31FB6">
              <w:rPr>
                <w:rFonts w:ascii="Helvetica" w:hAnsi="Helvetica" w:cs="Helvetica"/>
                <w:sz w:val="16"/>
                <w:szCs w:val="16"/>
              </w:rPr>
              <w:t>,</w:t>
            </w:r>
            <w:r w:rsidRPr="00A31FB6">
              <w:rPr>
                <w:rFonts w:ascii="Helvetica" w:hAnsi="Helvetica" w:cs="Helvetica"/>
                <w:sz w:val="16"/>
                <w:szCs w:val="16"/>
              </w:rPr>
              <w:t>29</w:t>
            </w:r>
            <w:r w:rsidR="00A1311D" w:rsidRPr="00A31FB6">
              <w:rPr>
                <w:rFonts w:ascii="Helvetica" w:hAnsi="Helvetica" w:cs="Helvetica"/>
                <w:sz w:val="16"/>
                <w:szCs w:val="16"/>
              </w:rPr>
              <w:t>%</w:t>
            </w:r>
            <w:r w:rsidR="00A1311D" w:rsidRPr="00A31FB6">
              <w:rPr>
                <w:rFonts w:ascii="Helvetica" w:hAnsi="Helvetica" w:cs="Helvetica"/>
                <w:spacing w:val="-4"/>
                <w:sz w:val="16"/>
                <w:szCs w:val="16"/>
              </w:rPr>
              <w:t xml:space="preserve"> </w:t>
            </w:r>
            <w:r w:rsidR="00A1311D" w:rsidRPr="00A31FB6">
              <w:rPr>
                <w:rFonts w:ascii="Helvetica" w:hAnsi="Helvetica" w:cs="Helvetica"/>
                <w:sz w:val="16"/>
                <w:szCs w:val="16"/>
              </w:rPr>
              <w:t>chaque</w:t>
            </w:r>
            <w:r w:rsidR="00A1311D" w:rsidRPr="00A31FB6">
              <w:rPr>
                <w:rFonts w:ascii="Helvetica" w:hAnsi="Helvetica" w:cs="Helvetica"/>
                <w:spacing w:val="-4"/>
                <w:sz w:val="16"/>
                <w:szCs w:val="16"/>
              </w:rPr>
              <w:t xml:space="preserve"> </w:t>
            </w:r>
            <w:r w:rsidR="00A1311D" w:rsidRPr="00A31FB6">
              <w:rPr>
                <w:rFonts w:ascii="Helvetica" w:hAnsi="Helvetica" w:cs="Helvetica"/>
                <w:spacing w:val="-2"/>
                <w:sz w:val="16"/>
                <w:szCs w:val="16"/>
              </w:rPr>
              <w:t>année</w:t>
            </w:r>
          </w:p>
        </w:tc>
      </w:tr>
    </w:tbl>
    <w:p w14:paraId="2C7D1E0A" w14:textId="74F54F5F" w:rsidR="00A1311D" w:rsidRPr="00A1311D" w:rsidRDefault="00A1311D" w:rsidP="00A1311D">
      <w:pPr>
        <w:autoSpaceDE w:val="0"/>
        <w:autoSpaceDN w:val="0"/>
        <w:adjustRightInd w:val="0"/>
        <w:spacing w:after="0" w:line="240" w:lineRule="auto"/>
        <w:ind w:left="-810"/>
        <w:jc w:val="both"/>
        <w:rPr>
          <w:rFonts w:ascii="Helvetica" w:hAnsi="Helvetica" w:cs="ArialMT"/>
          <w:sz w:val="16"/>
          <w:szCs w:val="16"/>
        </w:rPr>
      </w:pPr>
      <w:r w:rsidRPr="00FB7519">
        <w:rPr>
          <w:rFonts w:ascii="Helvetica" w:hAnsi="Helvetica" w:cs="Helvetica"/>
          <w:sz w:val="16"/>
          <w:szCs w:val="16"/>
        </w:rPr>
        <w:t>(*) Elle montre dans quelle mesure les coûts réduisent</w:t>
      </w:r>
      <w:r w:rsidRPr="00FB7519">
        <w:rPr>
          <w:rFonts w:ascii="Helvetica" w:hAnsi="Helvetica" w:cs="ArialMT"/>
          <w:sz w:val="16"/>
          <w:szCs w:val="16"/>
        </w:rPr>
        <w:t xml:space="preserve"> annuellement votre rendement au cours de la période de détention. Par exemple, elle montre que si vous sortez à la fin de la période de détention recommandée, il est prévu que votre rendement moyen par an </w:t>
      </w:r>
      <w:r w:rsidRPr="00A31FB6">
        <w:rPr>
          <w:rFonts w:ascii="Helvetica" w:hAnsi="Helvetica" w:cs="ArialMT"/>
          <w:sz w:val="16"/>
          <w:szCs w:val="16"/>
        </w:rPr>
        <w:t xml:space="preserve">soit de </w:t>
      </w:r>
      <w:r w:rsidR="00A31FB6" w:rsidRPr="00A31FB6">
        <w:rPr>
          <w:rFonts w:ascii="Helvetica" w:hAnsi="Helvetica" w:cs="ArialMT"/>
          <w:sz w:val="16"/>
          <w:szCs w:val="16"/>
        </w:rPr>
        <w:t>5</w:t>
      </w:r>
      <w:r w:rsidR="00D02D7C" w:rsidRPr="00A31FB6">
        <w:rPr>
          <w:rFonts w:ascii="Helvetica" w:hAnsi="Helvetica" w:cs="ArialMT"/>
          <w:sz w:val="16"/>
          <w:szCs w:val="16"/>
        </w:rPr>
        <w:t>,</w:t>
      </w:r>
      <w:r w:rsidR="00A31FB6" w:rsidRPr="00A31FB6">
        <w:rPr>
          <w:rFonts w:ascii="Helvetica" w:hAnsi="Helvetica" w:cs="ArialMT"/>
          <w:sz w:val="16"/>
          <w:szCs w:val="16"/>
        </w:rPr>
        <w:t>78</w:t>
      </w:r>
      <w:r w:rsidRPr="00A31FB6">
        <w:rPr>
          <w:rFonts w:ascii="Helvetica" w:hAnsi="Helvetica" w:cs="ArialMT"/>
          <w:sz w:val="16"/>
          <w:szCs w:val="16"/>
        </w:rPr>
        <w:t>% avant déduction</w:t>
      </w:r>
      <w:r w:rsidRPr="00FB7519">
        <w:rPr>
          <w:rFonts w:ascii="Helvetica" w:hAnsi="Helvetica" w:cs="ArialMT"/>
          <w:sz w:val="16"/>
          <w:szCs w:val="16"/>
        </w:rPr>
        <w:t xml:space="preserve"> des coûts et </w:t>
      </w:r>
      <w:r w:rsidRPr="00936BE5">
        <w:rPr>
          <w:rFonts w:ascii="Helvetica" w:hAnsi="Helvetica" w:cs="ArialMT"/>
          <w:sz w:val="16"/>
          <w:szCs w:val="16"/>
        </w:rPr>
        <w:t xml:space="preserve">de </w:t>
      </w:r>
      <w:r w:rsidR="00962E9C" w:rsidRPr="00936BE5">
        <w:rPr>
          <w:rFonts w:ascii="Helvetica" w:hAnsi="Helvetica" w:cs="ArialMT"/>
          <w:sz w:val="16"/>
          <w:szCs w:val="16"/>
        </w:rPr>
        <w:t>3</w:t>
      </w:r>
      <w:r w:rsidR="006F0E62" w:rsidRPr="00936BE5">
        <w:rPr>
          <w:rFonts w:ascii="Helvetica" w:hAnsi="Helvetica" w:cs="ArialMT"/>
          <w:sz w:val="16"/>
          <w:szCs w:val="16"/>
        </w:rPr>
        <w:t>,</w:t>
      </w:r>
      <w:r w:rsidR="00962E9C" w:rsidRPr="00936BE5">
        <w:rPr>
          <w:rFonts w:ascii="Helvetica" w:hAnsi="Helvetica" w:cs="ArialMT"/>
          <w:sz w:val="16"/>
          <w:szCs w:val="16"/>
        </w:rPr>
        <w:t>49</w:t>
      </w:r>
      <w:r w:rsidRPr="00936BE5">
        <w:rPr>
          <w:rFonts w:ascii="Helvetica" w:hAnsi="Helvetica" w:cs="ArialMT"/>
          <w:sz w:val="16"/>
          <w:szCs w:val="16"/>
        </w:rPr>
        <w:t>%</w:t>
      </w:r>
      <w:r w:rsidRPr="00FB7519">
        <w:rPr>
          <w:rFonts w:ascii="Helvetica" w:hAnsi="Helvetica" w:cs="ArialMT"/>
          <w:sz w:val="16"/>
          <w:szCs w:val="16"/>
        </w:rPr>
        <w:t xml:space="preserve"> après cette déduction.</w:t>
      </w:r>
    </w:p>
    <w:p w14:paraId="53BA6ABB" w14:textId="77777777" w:rsidR="00A71DAE" w:rsidRPr="00A71DAE" w:rsidRDefault="00A71DAE" w:rsidP="00A71DAE">
      <w:pPr>
        <w:autoSpaceDE w:val="0"/>
        <w:autoSpaceDN w:val="0"/>
        <w:adjustRightInd w:val="0"/>
        <w:spacing w:after="0" w:line="240" w:lineRule="auto"/>
        <w:ind w:left="-810"/>
        <w:jc w:val="both"/>
        <w:rPr>
          <w:rFonts w:ascii="Helvetica" w:hAnsi="Helvetica" w:cs="ArialMT"/>
          <w:sz w:val="12"/>
          <w:szCs w:val="12"/>
        </w:rPr>
      </w:pPr>
    </w:p>
    <w:p w14:paraId="56F63548" w14:textId="6BF8CEBC" w:rsidR="00A1311D" w:rsidRPr="00A1311D" w:rsidRDefault="00A1311D" w:rsidP="00A1311D">
      <w:pPr>
        <w:autoSpaceDE w:val="0"/>
        <w:autoSpaceDN w:val="0"/>
        <w:adjustRightInd w:val="0"/>
        <w:spacing w:after="0" w:line="240" w:lineRule="auto"/>
        <w:ind w:left="-810"/>
        <w:jc w:val="both"/>
        <w:rPr>
          <w:rFonts w:ascii="Helvetica" w:hAnsi="Helvetica" w:cs="ArialMT"/>
          <w:sz w:val="16"/>
          <w:szCs w:val="16"/>
        </w:rPr>
      </w:pPr>
      <w:r w:rsidRPr="00C90BF6">
        <w:rPr>
          <w:rFonts w:ascii="Helvetica" w:hAnsi="Helvetica" w:cs="ArialMT"/>
          <w:sz w:val="16"/>
          <w:szCs w:val="16"/>
        </w:rPr>
        <w:t>Il se peut que nous partagions les coûts avec la personne qui vous vend le produit afin de couvrir les services qu’elle vous fournit. Cette personne vous informera du montant.</w:t>
      </w:r>
    </w:p>
    <w:p w14:paraId="359E7A11" w14:textId="3CA255E8" w:rsidR="00F116DA" w:rsidRPr="00A71DAE" w:rsidRDefault="00F116DA" w:rsidP="00DF4890">
      <w:pPr>
        <w:autoSpaceDE w:val="0"/>
        <w:autoSpaceDN w:val="0"/>
        <w:adjustRightInd w:val="0"/>
        <w:spacing w:after="0" w:line="240" w:lineRule="auto"/>
        <w:ind w:left="-810"/>
        <w:jc w:val="both"/>
        <w:rPr>
          <w:rFonts w:ascii="Helvetica" w:hAnsi="Helvetica" w:cs="ArialMT"/>
          <w:sz w:val="12"/>
          <w:szCs w:val="12"/>
        </w:rPr>
      </w:pPr>
    </w:p>
    <w:tbl>
      <w:tblPr>
        <w:tblW w:w="0" w:type="auto"/>
        <w:tblInd w:w="-810" w:type="dxa"/>
        <w:tblLayout w:type="fixed"/>
        <w:tblCellMar>
          <w:left w:w="0" w:type="dxa"/>
          <w:right w:w="0" w:type="dxa"/>
        </w:tblCellMar>
        <w:tblLook w:val="01E0" w:firstRow="1" w:lastRow="1" w:firstColumn="1" w:lastColumn="1" w:noHBand="0" w:noVBand="0"/>
      </w:tblPr>
      <w:tblGrid>
        <w:gridCol w:w="1980"/>
        <w:gridCol w:w="7020"/>
        <w:gridCol w:w="2109"/>
      </w:tblGrid>
      <w:tr w:rsidR="00784438" w:rsidRPr="00A1311D" w14:paraId="4B9C1379" w14:textId="77777777" w:rsidTr="001231FF">
        <w:trPr>
          <w:trHeight w:val="490"/>
        </w:trPr>
        <w:tc>
          <w:tcPr>
            <w:tcW w:w="9000" w:type="dxa"/>
            <w:gridSpan w:val="2"/>
            <w:shd w:val="clear" w:color="auto" w:fill="1F497D" w:themeFill="text2"/>
          </w:tcPr>
          <w:p w14:paraId="02DD30AC" w14:textId="4BA09CD9" w:rsidR="00784438" w:rsidRPr="00C90BF6" w:rsidRDefault="00784438" w:rsidP="00784438">
            <w:pPr>
              <w:pStyle w:val="TableParagraph"/>
              <w:spacing w:before="34" w:line="209" w:lineRule="exact"/>
              <w:ind w:left="87" w:right="353"/>
              <w:jc w:val="both"/>
              <w:rPr>
                <w:rFonts w:ascii="Helvetica" w:hAnsi="Helvetica" w:cs="Helvetica"/>
                <w:b/>
                <w:bCs/>
                <w:sz w:val="16"/>
                <w:szCs w:val="16"/>
              </w:rPr>
            </w:pPr>
            <w:r w:rsidRPr="004F026C">
              <w:rPr>
                <w:rFonts w:ascii="Helvetica" w:hAnsi="Helvetica" w:cs="Helvetica"/>
                <w:b/>
                <w:bCs/>
                <w:color w:val="FFFFFF" w:themeColor="background1"/>
                <w:sz w:val="16"/>
                <w:szCs w:val="16"/>
              </w:rPr>
              <w:t>Coûts ponctuels à l’entrée ou à la sortie</w:t>
            </w:r>
          </w:p>
        </w:tc>
        <w:tc>
          <w:tcPr>
            <w:tcW w:w="2109" w:type="dxa"/>
            <w:shd w:val="clear" w:color="auto" w:fill="1F497D" w:themeFill="text2"/>
          </w:tcPr>
          <w:p w14:paraId="08DAC3F4" w14:textId="289B97EF" w:rsidR="00784438" w:rsidRPr="00C90BF6" w:rsidRDefault="00784438" w:rsidP="00210C23">
            <w:pPr>
              <w:pStyle w:val="TableParagraph"/>
              <w:spacing w:before="34" w:line="209" w:lineRule="exact"/>
              <w:ind w:left="0"/>
              <w:jc w:val="center"/>
              <w:rPr>
                <w:rFonts w:ascii="Helvetica" w:hAnsi="Helvetica" w:cs="Helvetica"/>
                <w:b/>
                <w:bCs/>
                <w:sz w:val="16"/>
                <w:szCs w:val="16"/>
              </w:rPr>
            </w:pPr>
            <w:r w:rsidRPr="00784438">
              <w:rPr>
                <w:rFonts w:ascii="Helvetica" w:hAnsi="Helvetica" w:cs="Helvetica"/>
                <w:b/>
                <w:bCs/>
                <w:color w:val="FFFFFF" w:themeColor="background1"/>
                <w:sz w:val="16"/>
                <w:szCs w:val="16"/>
              </w:rPr>
              <w:t>Si vous sortez après 1 an</w:t>
            </w:r>
          </w:p>
        </w:tc>
      </w:tr>
      <w:tr w:rsidR="00997E97" w:rsidRPr="00A1311D" w14:paraId="0C8392EB" w14:textId="77777777" w:rsidTr="004F026C">
        <w:trPr>
          <w:trHeight w:val="304"/>
        </w:trPr>
        <w:tc>
          <w:tcPr>
            <w:tcW w:w="1980" w:type="dxa"/>
            <w:tcBorders>
              <w:bottom w:val="single" w:sz="4" w:space="0" w:color="A5B4DE"/>
            </w:tcBorders>
          </w:tcPr>
          <w:p w14:paraId="34706F52" w14:textId="0BA20ACD" w:rsidR="00997E97" w:rsidRPr="00590855" w:rsidRDefault="00997E97" w:rsidP="00210C23">
            <w:pPr>
              <w:pStyle w:val="TableParagraph"/>
              <w:spacing w:before="52"/>
              <w:ind w:left="50"/>
              <w:rPr>
                <w:rFonts w:ascii="Helvetica" w:hAnsi="Helvetica" w:cs="Helvetica"/>
                <w:bCs/>
                <w:sz w:val="16"/>
                <w:szCs w:val="16"/>
              </w:rPr>
            </w:pPr>
            <w:r w:rsidRPr="00590855">
              <w:rPr>
                <w:rFonts w:ascii="Helvetica" w:hAnsi="Helvetica" w:cs="Helvetica"/>
                <w:bCs/>
                <w:sz w:val="16"/>
                <w:szCs w:val="16"/>
              </w:rPr>
              <w:t>Coûts</w:t>
            </w:r>
            <w:r w:rsidRPr="00590855">
              <w:rPr>
                <w:rFonts w:ascii="Helvetica" w:hAnsi="Helvetica" w:cs="Helvetica"/>
                <w:bCs/>
                <w:spacing w:val="-4"/>
                <w:sz w:val="16"/>
                <w:szCs w:val="16"/>
              </w:rPr>
              <w:t xml:space="preserve"> </w:t>
            </w:r>
            <w:r w:rsidR="004F026C" w:rsidRPr="00590855">
              <w:rPr>
                <w:rFonts w:ascii="Helvetica" w:hAnsi="Helvetica" w:cs="Helvetica"/>
                <w:bCs/>
                <w:spacing w:val="-2"/>
                <w:sz w:val="16"/>
                <w:szCs w:val="16"/>
              </w:rPr>
              <w:t>d’entrée</w:t>
            </w:r>
          </w:p>
        </w:tc>
        <w:tc>
          <w:tcPr>
            <w:tcW w:w="7020" w:type="dxa"/>
            <w:tcBorders>
              <w:bottom w:val="single" w:sz="4" w:space="0" w:color="A5B4DE"/>
            </w:tcBorders>
          </w:tcPr>
          <w:p w14:paraId="586B7E6B" w14:textId="316E72BD" w:rsidR="00997E97" w:rsidRPr="00590855" w:rsidRDefault="006F682A" w:rsidP="00784438">
            <w:pPr>
              <w:autoSpaceDE w:val="0"/>
              <w:autoSpaceDN w:val="0"/>
              <w:adjustRightInd w:val="0"/>
              <w:spacing w:after="0" w:line="240" w:lineRule="auto"/>
              <w:ind w:left="-1"/>
              <w:jc w:val="both"/>
              <w:rPr>
                <w:rFonts w:ascii="Helvetica" w:hAnsi="Helvetica" w:cs="ArialMT"/>
                <w:sz w:val="16"/>
                <w:szCs w:val="16"/>
              </w:rPr>
            </w:pPr>
            <w:r w:rsidRPr="00590855">
              <w:rPr>
                <w:rFonts w:ascii="Helvetica" w:hAnsi="Helvetica" w:cs="ArialMT"/>
                <w:sz w:val="16"/>
                <w:szCs w:val="16"/>
              </w:rPr>
              <w:t>Nous ne facturons pas de coût de sortie pour ce produit, mais la personne qui vous vend le produit peut le faire.</w:t>
            </w:r>
          </w:p>
        </w:tc>
        <w:tc>
          <w:tcPr>
            <w:tcW w:w="2109" w:type="dxa"/>
            <w:tcBorders>
              <w:bottom w:val="single" w:sz="4" w:space="0" w:color="A5B4DE"/>
            </w:tcBorders>
          </w:tcPr>
          <w:p w14:paraId="2EDDC2B6" w14:textId="7DBDBB53" w:rsidR="00997E97" w:rsidRPr="00590855" w:rsidRDefault="006F682A" w:rsidP="00EE4DE6">
            <w:pPr>
              <w:pStyle w:val="TableParagraph"/>
              <w:spacing w:before="52"/>
              <w:ind w:left="271" w:right="217"/>
              <w:jc w:val="center"/>
              <w:rPr>
                <w:rFonts w:ascii="Helvetica" w:hAnsi="Helvetica" w:cs="Helvetica"/>
                <w:bCs/>
                <w:sz w:val="16"/>
                <w:szCs w:val="16"/>
              </w:rPr>
            </w:pPr>
            <w:r>
              <w:rPr>
                <w:rFonts w:ascii="Helvetica" w:hAnsi="Helvetica" w:cs="Helvetica"/>
                <w:bCs/>
                <w:spacing w:val="-10"/>
                <w:sz w:val="16"/>
                <w:szCs w:val="16"/>
              </w:rPr>
              <w:t>0</w:t>
            </w:r>
            <w:r w:rsidR="00EE4DE6" w:rsidRPr="00590855">
              <w:rPr>
                <w:rFonts w:ascii="Helvetica" w:hAnsi="Helvetica" w:cs="Helvetica"/>
                <w:bCs/>
                <w:spacing w:val="-10"/>
                <w:sz w:val="16"/>
                <w:szCs w:val="16"/>
              </w:rPr>
              <w:t xml:space="preserve"> EUR</w:t>
            </w:r>
          </w:p>
        </w:tc>
      </w:tr>
      <w:tr w:rsidR="00997E97" w:rsidRPr="00A1311D" w14:paraId="0CC77E2F" w14:textId="77777777" w:rsidTr="004F026C">
        <w:trPr>
          <w:trHeight w:val="304"/>
        </w:trPr>
        <w:tc>
          <w:tcPr>
            <w:tcW w:w="1980" w:type="dxa"/>
            <w:tcBorders>
              <w:top w:val="single" w:sz="4" w:space="0" w:color="A5B4DE"/>
              <w:bottom w:val="single" w:sz="4" w:space="0" w:color="A5B4DE"/>
            </w:tcBorders>
          </w:tcPr>
          <w:p w14:paraId="2EA7E9D5" w14:textId="568459BB" w:rsidR="00997E97" w:rsidRPr="00590855" w:rsidRDefault="004F026C" w:rsidP="00210C23">
            <w:pPr>
              <w:pStyle w:val="TableParagraph"/>
              <w:ind w:left="50"/>
              <w:rPr>
                <w:rFonts w:ascii="Helvetica" w:hAnsi="Helvetica" w:cs="Helvetica"/>
                <w:bCs/>
                <w:sz w:val="16"/>
                <w:szCs w:val="16"/>
              </w:rPr>
            </w:pPr>
            <w:r w:rsidRPr="00590855">
              <w:rPr>
                <w:rFonts w:ascii="Helvetica" w:hAnsi="Helvetica" w:cs="Helvetica"/>
                <w:bCs/>
                <w:sz w:val="16"/>
                <w:szCs w:val="16"/>
              </w:rPr>
              <w:t>Coûts de sortie</w:t>
            </w:r>
          </w:p>
        </w:tc>
        <w:tc>
          <w:tcPr>
            <w:tcW w:w="7020" w:type="dxa"/>
            <w:tcBorders>
              <w:top w:val="single" w:sz="4" w:space="0" w:color="A5B4DE"/>
              <w:bottom w:val="single" w:sz="4" w:space="0" w:color="A5B4DE"/>
            </w:tcBorders>
          </w:tcPr>
          <w:p w14:paraId="7AC26D83" w14:textId="44E4C0C3" w:rsidR="00997E97" w:rsidRPr="00590855" w:rsidRDefault="00784438" w:rsidP="00784438">
            <w:pPr>
              <w:autoSpaceDE w:val="0"/>
              <w:autoSpaceDN w:val="0"/>
              <w:adjustRightInd w:val="0"/>
              <w:spacing w:after="0" w:line="240" w:lineRule="auto"/>
              <w:jc w:val="both"/>
              <w:rPr>
                <w:rFonts w:ascii="Helvetica" w:hAnsi="Helvetica" w:cs="ArialMT"/>
                <w:sz w:val="16"/>
                <w:szCs w:val="16"/>
              </w:rPr>
            </w:pPr>
            <w:r w:rsidRPr="00590855">
              <w:rPr>
                <w:rFonts w:ascii="Helvetica" w:hAnsi="Helvetica" w:cs="ArialMT"/>
                <w:sz w:val="16"/>
                <w:szCs w:val="16"/>
              </w:rPr>
              <w:t>Nous ne facturons pas de coût de sortie pour ce produit, mais la personne qui vous vend le produit peut le faire.</w:t>
            </w:r>
          </w:p>
        </w:tc>
        <w:tc>
          <w:tcPr>
            <w:tcW w:w="2109" w:type="dxa"/>
            <w:tcBorders>
              <w:top w:val="single" w:sz="4" w:space="0" w:color="A5B4DE"/>
              <w:bottom w:val="single" w:sz="4" w:space="0" w:color="A5B4DE"/>
            </w:tcBorders>
          </w:tcPr>
          <w:p w14:paraId="0FF03254" w14:textId="6720CCC2" w:rsidR="00997E97" w:rsidRPr="00590855" w:rsidRDefault="00EE4DE6" w:rsidP="00EE4DE6">
            <w:pPr>
              <w:pStyle w:val="TableParagraph"/>
              <w:spacing w:before="54"/>
              <w:ind w:left="271" w:right="216"/>
              <w:jc w:val="center"/>
              <w:rPr>
                <w:rFonts w:ascii="Helvetica" w:hAnsi="Helvetica" w:cs="Helvetica"/>
                <w:bCs/>
                <w:sz w:val="16"/>
                <w:szCs w:val="16"/>
              </w:rPr>
            </w:pPr>
            <w:r w:rsidRPr="00590855">
              <w:rPr>
                <w:rFonts w:ascii="Helvetica" w:hAnsi="Helvetica" w:cs="Helvetica"/>
                <w:bCs/>
                <w:spacing w:val="-10"/>
                <w:sz w:val="16"/>
                <w:szCs w:val="16"/>
              </w:rPr>
              <w:t>0 EUR</w:t>
            </w:r>
          </w:p>
        </w:tc>
      </w:tr>
      <w:tr w:rsidR="00EE4DE6" w:rsidRPr="00C90BF6" w14:paraId="00D0536D" w14:textId="77777777" w:rsidTr="009D117E">
        <w:trPr>
          <w:trHeight w:val="304"/>
        </w:trPr>
        <w:tc>
          <w:tcPr>
            <w:tcW w:w="9000" w:type="dxa"/>
            <w:gridSpan w:val="2"/>
            <w:tcBorders>
              <w:top w:val="single" w:sz="4" w:space="0" w:color="A5B4DE"/>
              <w:bottom w:val="single" w:sz="4" w:space="0" w:color="A5B4DE"/>
            </w:tcBorders>
            <w:shd w:val="clear" w:color="auto" w:fill="1F497D" w:themeFill="text2"/>
          </w:tcPr>
          <w:p w14:paraId="4B3C3CEA" w14:textId="01E632D0" w:rsidR="00EE4DE6" w:rsidRPr="00997E97" w:rsidRDefault="00EE4DE6" w:rsidP="00EE4DE6">
            <w:pPr>
              <w:pStyle w:val="TableParagraph"/>
              <w:spacing w:before="54"/>
              <w:ind w:left="87" w:right="690"/>
              <w:rPr>
                <w:rFonts w:ascii="Helvetica" w:hAnsi="Helvetica" w:cs="Helvetica"/>
                <w:spacing w:val="-2"/>
                <w:sz w:val="16"/>
                <w:szCs w:val="16"/>
              </w:rPr>
            </w:pPr>
            <w:r w:rsidRPr="004F026C">
              <w:rPr>
                <w:rFonts w:ascii="Helvetica" w:hAnsi="Helvetica" w:cs="Helvetica"/>
                <w:b/>
                <w:bCs/>
                <w:color w:val="FFFFFF" w:themeColor="background1"/>
                <w:sz w:val="16"/>
                <w:szCs w:val="16"/>
              </w:rPr>
              <w:t xml:space="preserve">Coûts </w:t>
            </w:r>
            <w:r>
              <w:rPr>
                <w:rFonts w:ascii="Helvetica" w:hAnsi="Helvetica" w:cs="Helvetica"/>
                <w:b/>
                <w:bCs/>
                <w:color w:val="FFFFFF" w:themeColor="background1"/>
                <w:sz w:val="16"/>
                <w:szCs w:val="16"/>
              </w:rPr>
              <w:t>récurrents prélevés chaque année</w:t>
            </w:r>
          </w:p>
        </w:tc>
        <w:tc>
          <w:tcPr>
            <w:tcW w:w="2109" w:type="dxa"/>
            <w:tcBorders>
              <w:top w:val="single" w:sz="4" w:space="0" w:color="A5B4DE"/>
              <w:bottom w:val="single" w:sz="4" w:space="0" w:color="A5B4DE"/>
            </w:tcBorders>
            <w:shd w:val="clear" w:color="auto" w:fill="1F497D" w:themeFill="text2"/>
          </w:tcPr>
          <w:p w14:paraId="66951841" w14:textId="689DEC22" w:rsidR="00EE4DE6" w:rsidRPr="00997E97" w:rsidRDefault="00EE4DE6" w:rsidP="00EE4DE6">
            <w:pPr>
              <w:pStyle w:val="TableParagraph"/>
              <w:spacing w:before="54"/>
              <w:ind w:left="355" w:right="216"/>
              <w:jc w:val="center"/>
              <w:rPr>
                <w:rFonts w:ascii="Helvetica" w:hAnsi="Helvetica" w:cs="Helvetica"/>
                <w:sz w:val="16"/>
                <w:szCs w:val="16"/>
              </w:rPr>
            </w:pPr>
          </w:p>
        </w:tc>
      </w:tr>
      <w:tr w:rsidR="00EE4DE6" w:rsidRPr="00C90BF6" w14:paraId="2FC70C38" w14:textId="77777777" w:rsidTr="004F026C">
        <w:trPr>
          <w:trHeight w:val="304"/>
        </w:trPr>
        <w:tc>
          <w:tcPr>
            <w:tcW w:w="1980" w:type="dxa"/>
            <w:tcBorders>
              <w:top w:val="single" w:sz="4" w:space="0" w:color="A5B4DE"/>
              <w:bottom w:val="single" w:sz="4" w:space="0" w:color="A5B4DE"/>
            </w:tcBorders>
          </w:tcPr>
          <w:p w14:paraId="72A7D6B5" w14:textId="19316A33" w:rsidR="00EE4DE6" w:rsidRPr="00EE4DE6" w:rsidRDefault="00BD59E9" w:rsidP="00EE4DE6">
            <w:pPr>
              <w:pStyle w:val="TableParagraph"/>
              <w:ind w:left="50"/>
              <w:rPr>
                <w:rFonts w:ascii="Helvetica" w:hAnsi="Helvetica" w:cs="Helvetica"/>
                <w:bCs/>
                <w:sz w:val="16"/>
                <w:szCs w:val="16"/>
              </w:rPr>
            </w:pPr>
            <w:r w:rsidRPr="00BD59E9">
              <w:rPr>
                <w:rFonts w:ascii="Helvetica" w:hAnsi="Helvetica" w:cs="Helvetica"/>
                <w:bCs/>
                <w:sz w:val="16"/>
                <w:szCs w:val="16"/>
              </w:rPr>
              <w:t>Frais de gestion et autres frais administratifs et d'exploitati</w:t>
            </w:r>
            <w:r>
              <w:rPr>
                <w:rFonts w:ascii="Helvetica" w:hAnsi="Helvetica" w:cs="Helvetica"/>
                <w:bCs/>
                <w:sz w:val="16"/>
                <w:szCs w:val="16"/>
              </w:rPr>
              <w:t>on</w:t>
            </w:r>
          </w:p>
        </w:tc>
        <w:tc>
          <w:tcPr>
            <w:tcW w:w="7020" w:type="dxa"/>
            <w:tcBorders>
              <w:top w:val="single" w:sz="4" w:space="0" w:color="A5B4DE"/>
              <w:bottom w:val="single" w:sz="4" w:space="0" w:color="A5B4DE"/>
            </w:tcBorders>
          </w:tcPr>
          <w:p w14:paraId="2BE4C1C9" w14:textId="7C1A1FE6" w:rsidR="00EE4DE6" w:rsidRPr="009F41D4" w:rsidRDefault="00936BE5" w:rsidP="00BD59E9">
            <w:pPr>
              <w:autoSpaceDE w:val="0"/>
              <w:autoSpaceDN w:val="0"/>
              <w:adjustRightInd w:val="0"/>
              <w:spacing w:after="0" w:line="240" w:lineRule="auto"/>
              <w:jc w:val="both"/>
              <w:rPr>
                <w:rFonts w:ascii="Helvetica" w:hAnsi="Helvetica" w:cs="ArialMT"/>
                <w:sz w:val="16"/>
                <w:szCs w:val="16"/>
              </w:rPr>
            </w:pPr>
            <w:r>
              <w:rPr>
                <w:rFonts w:ascii="Helvetica" w:hAnsi="Helvetica" w:cs="ArialMT"/>
                <w:sz w:val="16"/>
                <w:szCs w:val="16"/>
              </w:rPr>
              <w:t>2</w:t>
            </w:r>
            <w:r w:rsidRPr="00D27A20">
              <w:rPr>
                <w:rFonts w:ascii="Helvetica" w:hAnsi="Helvetica" w:cs="ArialMT"/>
                <w:sz w:val="16"/>
                <w:szCs w:val="16"/>
              </w:rPr>
              <w:t>,</w:t>
            </w:r>
            <w:r>
              <w:rPr>
                <w:rFonts w:ascii="Helvetica" w:hAnsi="Helvetica" w:cs="ArialMT"/>
                <w:sz w:val="16"/>
                <w:szCs w:val="16"/>
              </w:rPr>
              <w:t>37</w:t>
            </w:r>
            <w:r w:rsidRPr="00D27A20">
              <w:rPr>
                <w:rFonts w:ascii="Helvetica" w:hAnsi="Helvetica" w:cs="ArialMT"/>
                <w:sz w:val="16"/>
                <w:szCs w:val="16"/>
              </w:rPr>
              <w:t>% de la valeur de votre investissement par an. Cette estimation se base sur les coûts réels au cours de l’année (1,</w:t>
            </w:r>
            <w:r>
              <w:rPr>
                <w:rFonts w:ascii="Helvetica" w:hAnsi="Helvetica" w:cs="ArialMT"/>
                <w:sz w:val="16"/>
                <w:szCs w:val="16"/>
              </w:rPr>
              <w:t>5</w:t>
            </w:r>
            <w:r w:rsidRPr="00D27A20">
              <w:rPr>
                <w:rFonts w:ascii="Helvetica" w:hAnsi="Helvetica" w:cs="ArialMT"/>
                <w:sz w:val="16"/>
                <w:szCs w:val="16"/>
              </w:rPr>
              <w:t>6%) et le montant des frais indirects réels (commissions et frais de gestion du Fonds Maître : 0,81%).</w:t>
            </w:r>
          </w:p>
        </w:tc>
        <w:tc>
          <w:tcPr>
            <w:tcW w:w="2109" w:type="dxa"/>
            <w:tcBorders>
              <w:top w:val="single" w:sz="4" w:space="0" w:color="A5B4DE"/>
              <w:bottom w:val="single" w:sz="4" w:space="0" w:color="A5B4DE"/>
            </w:tcBorders>
          </w:tcPr>
          <w:p w14:paraId="01EB0262" w14:textId="7F304EAC" w:rsidR="00EE4DE6" w:rsidRPr="009F41D4" w:rsidRDefault="00936BE5" w:rsidP="00EE4DE6">
            <w:pPr>
              <w:pStyle w:val="TableParagraph"/>
              <w:spacing w:before="54"/>
              <w:ind w:left="355" w:right="216"/>
              <w:jc w:val="center"/>
              <w:rPr>
                <w:rFonts w:ascii="Helvetica" w:hAnsi="Helvetica" w:cs="Helvetica"/>
                <w:sz w:val="16"/>
                <w:szCs w:val="16"/>
              </w:rPr>
            </w:pPr>
            <w:r>
              <w:rPr>
                <w:rFonts w:ascii="Helvetica" w:hAnsi="Helvetica" w:cs="Helvetica"/>
                <w:bCs/>
                <w:spacing w:val="-10"/>
                <w:sz w:val="16"/>
                <w:szCs w:val="16"/>
              </w:rPr>
              <w:t>237</w:t>
            </w:r>
            <w:r w:rsidR="00FB7519" w:rsidRPr="009F41D4">
              <w:rPr>
                <w:rFonts w:ascii="Helvetica" w:hAnsi="Helvetica" w:cs="Helvetica"/>
                <w:bCs/>
                <w:spacing w:val="-10"/>
                <w:sz w:val="16"/>
                <w:szCs w:val="16"/>
              </w:rPr>
              <w:t xml:space="preserve"> </w:t>
            </w:r>
            <w:r w:rsidR="00EE4DE6" w:rsidRPr="009F41D4">
              <w:rPr>
                <w:rFonts w:ascii="Helvetica" w:hAnsi="Helvetica" w:cs="Helvetica"/>
                <w:bCs/>
                <w:spacing w:val="-10"/>
                <w:sz w:val="16"/>
                <w:szCs w:val="16"/>
              </w:rPr>
              <w:t>EUR</w:t>
            </w:r>
          </w:p>
        </w:tc>
      </w:tr>
      <w:tr w:rsidR="00EE4DE6" w:rsidRPr="00C90BF6" w14:paraId="3629E16E" w14:textId="77777777" w:rsidTr="004F026C">
        <w:trPr>
          <w:trHeight w:val="304"/>
        </w:trPr>
        <w:tc>
          <w:tcPr>
            <w:tcW w:w="1980" w:type="dxa"/>
            <w:tcBorders>
              <w:top w:val="single" w:sz="4" w:space="0" w:color="A5B4DE"/>
              <w:bottom w:val="single" w:sz="4" w:space="0" w:color="A5B4DE"/>
            </w:tcBorders>
          </w:tcPr>
          <w:p w14:paraId="022C970B" w14:textId="3D05E2E4" w:rsidR="00EE4DE6" w:rsidRPr="00EE4DE6" w:rsidRDefault="00BD59E9" w:rsidP="00EE4DE6">
            <w:pPr>
              <w:pStyle w:val="TableParagraph"/>
              <w:ind w:left="50"/>
              <w:rPr>
                <w:rFonts w:ascii="Helvetica" w:hAnsi="Helvetica" w:cs="Helvetica"/>
                <w:bCs/>
                <w:sz w:val="16"/>
                <w:szCs w:val="16"/>
              </w:rPr>
            </w:pPr>
            <w:r>
              <w:rPr>
                <w:rFonts w:ascii="Helvetica" w:hAnsi="Helvetica" w:cs="Helvetica"/>
                <w:bCs/>
                <w:sz w:val="16"/>
                <w:szCs w:val="16"/>
              </w:rPr>
              <w:t>Coûts de transaction</w:t>
            </w:r>
          </w:p>
        </w:tc>
        <w:tc>
          <w:tcPr>
            <w:tcW w:w="7020" w:type="dxa"/>
            <w:tcBorders>
              <w:top w:val="single" w:sz="4" w:space="0" w:color="A5B4DE"/>
              <w:bottom w:val="single" w:sz="4" w:space="0" w:color="A5B4DE"/>
            </w:tcBorders>
          </w:tcPr>
          <w:p w14:paraId="03AB2B2F" w14:textId="4AFC3F9D" w:rsidR="00EE4DE6" w:rsidRPr="00936BE5" w:rsidRDefault="00D8048C" w:rsidP="00BD59E9">
            <w:pPr>
              <w:autoSpaceDE w:val="0"/>
              <w:autoSpaceDN w:val="0"/>
              <w:adjustRightInd w:val="0"/>
              <w:spacing w:after="0" w:line="240" w:lineRule="auto"/>
              <w:jc w:val="both"/>
              <w:rPr>
                <w:rFonts w:ascii="Helvetica" w:hAnsi="Helvetica" w:cs="ArialMT"/>
                <w:sz w:val="16"/>
                <w:szCs w:val="16"/>
              </w:rPr>
            </w:pPr>
            <w:r w:rsidRPr="00936BE5">
              <w:rPr>
                <w:rFonts w:ascii="Helvetica" w:hAnsi="Helvetica" w:cs="ArialMT"/>
                <w:sz w:val="16"/>
                <w:szCs w:val="16"/>
              </w:rPr>
              <w:t>0</w:t>
            </w:r>
            <w:r w:rsidR="00FB7519" w:rsidRPr="00936BE5">
              <w:rPr>
                <w:rFonts w:ascii="Helvetica" w:hAnsi="Helvetica" w:cs="ArialMT"/>
                <w:sz w:val="16"/>
                <w:szCs w:val="16"/>
              </w:rPr>
              <w:t>,</w:t>
            </w:r>
            <w:r w:rsidRPr="00936BE5">
              <w:rPr>
                <w:rFonts w:ascii="Helvetica" w:hAnsi="Helvetica" w:cs="ArialMT"/>
                <w:sz w:val="16"/>
                <w:szCs w:val="16"/>
              </w:rPr>
              <w:t>09</w:t>
            </w:r>
            <w:r w:rsidR="00BD59E9" w:rsidRPr="00936BE5">
              <w:rPr>
                <w:rFonts w:ascii="Helvetica" w:hAnsi="Helvetica" w:cs="ArialMT"/>
                <w:sz w:val="16"/>
                <w:szCs w:val="16"/>
              </w:rPr>
              <w:t>% de la valeur de votre investissement par an. Il s’agit d’une estimation des coûts encourus lorsque nous achetons et vendons les investissements sous-jacents au produit. Le montant réel varie en fonction de la quantité que nous achetons et vendons.</w:t>
            </w:r>
          </w:p>
        </w:tc>
        <w:tc>
          <w:tcPr>
            <w:tcW w:w="2109" w:type="dxa"/>
            <w:tcBorders>
              <w:top w:val="single" w:sz="4" w:space="0" w:color="A5B4DE"/>
              <w:bottom w:val="single" w:sz="4" w:space="0" w:color="A5B4DE"/>
            </w:tcBorders>
          </w:tcPr>
          <w:p w14:paraId="58A467AB" w14:textId="7708EF57" w:rsidR="00EE4DE6" w:rsidRPr="00936BE5" w:rsidRDefault="00D8048C" w:rsidP="00EE4DE6">
            <w:pPr>
              <w:pStyle w:val="TableParagraph"/>
              <w:spacing w:before="54"/>
              <w:ind w:left="355" w:right="216"/>
              <w:jc w:val="center"/>
              <w:rPr>
                <w:rFonts w:ascii="Helvetica" w:hAnsi="Helvetica" w:cs="Helvetica"/>
                <w:sz w:val="16"/>
                <w:szCs w:val="16"/>
              </w:rPr>
            </w:pPr>
            <w:r w:rsidRPr="00936BE5">
              <w:rPr>
                <w:rFonts w:ascii="Helvetica" w:hAnsi="Helvetica" w:cs="Helvetica"/>
                <w:bCs/>
                <w:spacing w:val="-10"/>
                <w:sz w:val="16"/>
                <w:szCs w:val="16"/>
              </w:rPr>
              <w:t>9</w:t>
            </w:r>
            <w:r w:rsidR="00FB7519" w:rsidRPr="00936BE5">
              <w:rPr>
                <w:rFonts w:ascii="Helvetica" w:hAnsi="Helvetica" w:cs="Helvetica"/>
                <w:bCs/>
                <w:spacing w:val="-10"/>
                <w:sz w:val="16"/>
                <w:szCs w:val="16"/>
              </w:rPr>
              <w:t xml:space="preserve"> </w:t>
            </w:r>
            <w:r w:rsidR="00EE4DE6" w:rsidRPr="00936BE5">
              <w:rPr>
                <w:rFonts w:ascii="Helvetica" w:hAnsi="Helvetica" w:cs="Helvetica"/>
                <w:bCs/>
                <w:spacing w:val="-10"/>
                <w:sz w:val="16"/>
                <w:szCs w:val="16"/>
              </w:rPr>
              <w:t>EUR</w:t>
            </w:r>
          </w:p>
        </w:tc>
      </w:tr>
      <w:tr w:rsidR="00EE4DE6" w:rsidRPr="00C90BF6" w14:paraId="21BB06CD" w14:textId="77777777" w:rsidTr="00685582">
        <w:trPr>
          <w:trHeight w:val="304"/>
        </w:trPr>
        <w:tc>
          <w:tcPr>
            <w:tcW w:w="9000" w:type="dxa"/>
            <w:gridSpan w:val="2"/>
            <w:tcBorders>
              <w:top w:val="single" w:sz="4" w:space="0" w:color="A5B4DE"/>
              <w:bottom w:val="single" w:sz="4" w:space="0" w:color="A5B4DE"/>
            </w:tcBorders>
            <w:shd w:val="clear" w:color="auto" w:fill="1F497D" w:themeFill="text2"/>
          </w:tcPr>
          <w:p w14:paraId="1F959DFA" w14:textId="5C028516" w:rsidR="00EE4DE6" w:rsidRPr="00EE4DE6" w:rsidRDefault="00EE4DE6" w:rsidP="00EE4DE6">
            <w:pPr>
              <w:pStyle w:val="TableParagraph"/>
              <w:spacing w:before="54"/>
              <w:ind w:left="87" w:right="690"/>
              <w:rPr>
                <w:rFonts w:ascii="Helvetica" w:hAnsi="Helvetica" w:cs="Helvetica"/>
                <w:b/>
                <w:bCs/>
                <w:color w:val="FFFFFF" w:themeColor="background1"/>
                <w:spacing w:val="-2"/>
                <w:sz w:val="16"/>
                <w:szCs w:val="16"/>
              </w:rPr>
            </w:pPr>
            <w:r w:rsidRPr="00EE4DE6">
              <w:rPr>
                <w:rFonts w:ascii="Helvetica" w:hAnsi="Helvetica" w:cs="Helvetica"/>
                <w:b/>
                <w:bCs/>
                <w:color w:val="FFFFFF" w:themeColor="background1"/>
                <w:spacing w:val="-2"/>
                <w:sz w:val="16"/>
                <w:szCs w:val="16"/>
              </w:rPr>
              <w:t>Coûts accessoires prélevés sous certaines conditions</w:t>
            </w:r>
          </w:p>
        </w:tc>
        <w:tc>
          <w:tcPr>
            <w:tcW w:w="2109" w:type="dxa"/>
            <w:tcBorders>
              <w:top w:val="single" w:sz="4" w:space="0" w:color="A5B4DE"/>
              <w:bottom w:val="single" w:sz="4" w:space="0" w:color="A5B4DE"/>
            </w:tcBorders>
            <w:shd w:val="clear" w:color="auto" w:fill="1F497D" w:themeFill="text2"/>
          </w:tcPr>
          <w:p w14:paraId="53D4B1EF" w14:textId="67B89566" w:rsidR="00EE4DE6" w:rsidRPr="00997E97" w:rsidRDefault="00EE4DE6" w:rsidP="00997E97">
            <w:pPr>
              <w:pStyle w:val="TableParagraph"/>
              <w:spacing w:before="54"/>
              <w:ind w:left="355" w:right="216"/>
              <w:jc w:val="center"/>
              <w:rPr>
                <w:rFonts w:ascii="Helvetica" w:hAnsi="Helvetica" w:cs="Helvetica"/>
                <w:sz w:val="16"/>
                <w:szCs w:val="16"/>
              </w:rPr>
            </w:pPr>
          </w:p>
        </w:tc>
      </w:tr>
      <w:tr w:rsidR="00EE4DE6" w:rsidRPr="00C90BF6" w14:paraId="5C40F83D" w14:textId="77777777" w:rsidTr="004F026C">
        <w:trPr>
          <w:trHeight w:val="304"/>
        </w:trPr>
        <w:tc>
          <w:tcPr>
            <w:tcW w:w="1980" w:type="dxa"/>
            <w:tcBorders>
              <w:top w:val="single" w:sz="4" w:space="0" w:color="A5B4DE"/>
              <w:bottom w:val="single" w:sz="4" w:space="0" w:color="A5B4DE"/>
            </w:tcBorders>
          </w:tcPr>
          <w:p w14:paraId="0596A03C" w14:textId="7710BBED" w:rsidR="00EE4DE6" w:rsidRPr="00590855" w:rsidRDefault="00BD59E9" w:rsidP="0069504A">
            <w:pPr>
              <w:pStyle w:val="TableParagraph"/>
              <w:ind w:left="50"/>
              <w:rPr>
                <w:rFonts w:ascii="Helvetica" w:hAnsi="Helvetica" w:cs="Helvetica"/>
                <w:bCs/>
                <w:sz w:val="16"/>
                <w:szCs w:val="16"/>
              </w:rPr>
            </w:pPr>
            <w:r w:rsidRPr="00590855">
              <w:rPr>
                <w:rFonts w:ascii="Helvetica" w:hAnsi="Helvetica" w:cs="Helvetica"/>
                <w:bCs/>
                <w:sz w:val="16"/>
                <w:szCs w:val="16"/>
              </w:rPr>
              <w:t>Commissions liées aux résultats et commission d’intéressement</w:t>
            </w:r>
          </w:p>
        </w:tc>
        <w:tc>
          <w:tcPr>
            <w:tcW w:w="7020" w:type="dxa"/>
            <w:tcBorders>
              <w:top w:val="single" w:sz="4" w:space="0" w:color="A5B4DE"/>
              <w:bottom w:val="single" w:sz="4" w:space="0" w:color="A5B4DE"/>
            </w:tcBorders>
          </w:tcPr>
          <w:p w14:paraId="7E8DCAD3" w14:textId="4784D58A" w:rsidR="00EE4DE6" w:rsidRPr="00590855" w:rsidRDefault="00681C34" w:rsidP="00BD59E9">
            <w:pPr>
              <w:autoSpaceDE w:val="0"/>
              <w:autoSpaceDN w:val="0"/>
              <w:adjustRightInd w:val="0"/>
              <w:spacing w:after="0" w:line="240" w:lineRule="auto"/>
              <w:jc w:val="both"/>
              <w:rPr>
                <w:rFonts w:ascii="Helvetica" w:hAnsi="Helvetica" w:cs="Helvetica"/>
                <w:spacing w:val="-2"/>
                <w:sz w:val="16"/>
                <w:szCs w:val="16"/>
              </w:rPr>
            </w:pPr>
            <w:r w:rsidRPr="00BD59E9">
              <w:rPr>
                <w:rFonts w:ascii="Helvetica" w:hAnsi="Helvetica" w:cs="ArialMT"/>
                <w:sz w:val="16"/>
                <w:szCs w:val="16"/>
              </w:rPr>
              <w:t>0% Le montant réel varie en fonction de la performance de votre investissement. L’estimation ci-dessus des coûts totaux comprend la moyenne au cours des 5 dernières années.</w:t>
            </w:r>
          </w:p>
        </w:tc>
        <w:tc>
          <w:tcPr>
            <w:tcW w:w="2109" w:type="dxa"/>
            <w:tcBorders>
              <w:top w:val="single" w:sz="4" w:space="0" w:color="A5B4DE"/>
              <w:bottom w:val="single" w:sz="4" w:space="0" w:color="A5B4DE"/>
            </w:tcBorders>
          </w:tcPr>
          <w:p w14:paraId="20AB073A" w14:textId="5926F104" w:rsidR="00EE4DE6" w:rsidRPr="00590855" w:rsidRDefault="00363193" w:rsidP="00EE4DE6">
            <w:pPr>
              <w:pStyle w:val="TableParagraph"/>
              <w:spacing w:before="54"/>
              <w:ind w:left="355" w:right="216"/>
              <w:jc w:val="center"/>
              <w:rPr>
                <w:rFonts w:ascii="Helvetica" w:hAnsi="Helvetica" w:cs="Helvetica"/>
                <w:sz w:val="16"/>
                <w:szCs w:val="16"/>
              </w:rPr>
            </w:pPr>
            <w:r w:rsidRPr="00590855">
              <w:rPr>
                <w:rFonts w:ascii="Helvetica" w:hAnsi="Helvetica" w:cs="Helvetica"/>
                <w:bCs/>
                <w:spacing w:val="-10"/>
                <w:sz w:val="16"/>
                <w:szCs w:val="16"/>
              </w:rPr>
              <w:t>0</w:t>
            </w:r>
            <w:r w:rsidR="00BD59E9" w:rsidRPr="00590855">
              <w:rPr>
                <w:rFonts w:ascii="Helvetica" w:hAnsi="Helvetica" w:cs="Helvetica"/>
                <w:bCs/>
                <w:spacing w:val="-10"/>
                <w:sz w:val="16"/>
                <w:szCs w:val="16"/>
              </w:rPr>
              <w:t xml:space="preserve"> </w:t>
            </w:r>
            <w:r w:rsidR="00EE4DE6" w:rsidRPr="00590855">
              <w:rPr>
                <w:rFonts w:ascii="Helvetica" w:hAnsi="Helvetica" w:cs="Helvetica"/>
                <w:bCs/>
                <w:spacing w:val="-10"/>
                <w:sz w:val="16"/>
                <w:szCs w:val="16"/>
              </w:rPr>
              <w:t>EUR</w:t>
            </w:r>
          </w:p>
        </w:tc>
      </w:tr>
    </w:tbl>
    <w:p w14:paraId="3EBF647C" w14:textId="4F7EC150" w:rsidR="00D9308C" w:rsidRDefault="00D9308C" w:rsidP="00BA5489">
      <w:pPr>
        <w:autoSpaceDE w:val="0"/>
        <w:autoSpaceDN w:val="0"/>
        <w:adjustRightInd w:val="0"/>
        <w:spacing w:after="0" w:line="240" w:lineRule="auto"/>
        <w:ind w:left="-810"/>
        <w:jc w:val="both"/>
        <w:rPr>
          <w:rFonts w:ascii="Helvetica" w:hAnsi="Helvetica" w:cs="ArialMT"/>
          <w:sz w:val="16"/>
          <w:szCs w:val="16"/>
        </w:rPr>
      </w:pPr>
    </w:p>
    <w:p w14:paraId="39114377" w14:textId="77777777" w:rsidR="00F42F94" w:rsidRPr="008604B0" w:rsidRDefault="00F42F94"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Combien de temps dois-je le conserver et puis-je retirer de l’argent de façon anticipée ?</w:t>
      </w:r>
    </w:p>
    <w:p w14:paraId="66560C23" w14:textId="77777777" w:rsidR="00F42F94" w:rsidRPr="0095405E" w:rsidRDefault="00F42F94" w:rsidP="00BA5489">
      <w:pPr>
        <w:autoSpaceDE w:val="0"/>
        <w:autoSpaceDN w:val="0"/>
        <w:adjustRightInd w:val="0"/>
        <w:spacing w:after="0" w:line="240" w:lineRule="auto"/>
        <w:ind w:left="-810"/>
        <w:jc w:val="both"/>
        <w:rPr>
          <w:rFonts w:ascii="Helvetica" w:hAnsi="Helvetica" w:cs="Arial"/>
          <w:bCs/>
          <w:sz w:val="16"/>
          <w:szCs w:val="16"/>
        </w:rPr>
      </w:pPr>
      <w:r w:rsidRPr="0095405E">
        <w:rPr>
          <w:rFonts w:ascii="Helvetica" w:hAnsi="Helvetica" w:cs="Arial"/>
          <w:bCs/>
          <w:sz w:val="16"/>
          <w:szCs w:val="16"/>
        </w:rPr>
        <w:t>Du fait de l'exposition du fonds au marché des actions, la durée recommandée de placement est supérieure à 5 ans.</w:t>
      </w:r>
    </w:p>
    <w:p w14:paraId="0E1C87BD" w14:textId="77777777" w:rsidR="00F42F94" w:rsidRPr="0095405E" w:rsidRDefault="00F42F94" w:rsidP="00BA5489">
      <w:pPr>
        <w:autoSpaceDE w:val="0"/>
        <w:autoSpaceDN w:val="0"/>
        <w:adjustRightInd w:val="0"/>
        <w:spacing w:after="0" w:line="240" w:lineRule="auto"/>
        <w:ind w:left="-810"/>
        <w:jc w:val="both"/>
        <w:rPr>
          <w:rFonts w:ascii="Helvetica" w:hAnsi="Helvetica" w:cs="Arial"/>
          <w:bCs/>
          <w:sz w:val="16"/>
          <w:szCs w:val="16"/>
        </w:rPr>
      </w:pPr>
      <w:r w:rsidRPr="0095405E">
        <w:rPr>
          <w:rFonts w:ascii="Helvetica" w:hAnsi="Helvetica" w:cs="Arial"/>
          <w:bCs/>
          <w:sz w:val="16"/>
          <w:szCs w:val="16"/>
        </w:rPr>
        <w:t xml:space="preserve">Vous pouvez demander le remboursement de vos parts chaque jour, les opérations de rachat sont exécutées de façon quotidienne. Dans des circonstances exceptionnelles, votre droit à demander le rachat de votre investissement peut être suspendu. La détention pour une durée inférieure à la période recommandée est susceptible de pénaliser l'investisseur. </w:t>
      </w:r>
    </w:p>
    <w:p w14:paraId="77901C26" w14:textId="77777777" w:rsidR="00F42F94" w:rsidRPr="00A43AAB" w:rsidRDefault="00F42F94" w:rsidP="00BA5489">
      <w:pPr>
        <w:autoSpaceDE w:val="0"/>
        <w:autoSpaceDN w:val="0"/>
        <w:adjustRightInd w:val="0"/>
        <w:spacing w:after="0" w:line="240" w:lineRule="auto"/>
        <w:ind w:left="-810"/>
        <w:jc w:val="both"/>
        <w:rPr>
          <w:rFonts w:ascii="Helvetica" w:hAnsi="Helvetica" w:cs="Arial"/>
          <w:bCs/>
          <w:sz w:val="16"/>
          <w:szCs w:val="16"/>
        </w:rPr>
      </w:pPr>
    </w:p>
    <w:p w14:paraId="6E94CA60" w14:textId="4A70BAEF" w:rsidR="00F42F94" w:rsidRPr="008604B0" w:rsidRDefault="00F42F94"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Comme</w:t>
      </w:r>
      <w:r w:rsidR="0022418C" w:rsidRPr="008604B0">
        <w:rPr>
          <w:rFonts w:ascii="Helvetica" w:hAnsi="Helvetica" w:cs="Arial-BoldMT"/>
          <w:b/>
          <w:color w:val="1F497D" w:themeColor="text2"/>
          <w:sz w:val="18"/>
          <w:szCs w:val="18"/>
        </w:rPr>
        <w:t>n</w:t>
      </w:r>
      <w:r w:rsidRPr="008604B0">
        <w:rPr>
          <w:rFonts w:ascii="Helvetica" w:hAnsi="Helvetica" w:cs="Arial-BoldMT"/>
          <w:b/>
          <w:color w:val="1F497D" w:themeColor="text2"/>
          <w:sz w:val="18"/>
          <w:szCs w:val="18"/>
        </w:rPr>
        <w:t>t puis-je formuler une réclamation ?</w:t>
      </w:r>
    </w:p>
    <w:p w14:paraId="5D24A65B" w14:textId="77777777" w:rsidR="00F42F94" w:rsidRPr="00A43AAB" w:rsidRDefault="00F42F94" w:rsidP="00BA5489">
      <w:pPr>
        <w:autoSpaceDE w:val="0"/>
        <w:autoSpaceDN w:val="0"/>
        <w:adjustRightInd w:val="0"/>
        <w:spacing w:after="0" w:line="240" w:lineRule="auto"/>
        <w:ind w:left="-810"/>
        <w:jc w:val="both"/>
        <w:rPr>
          <w:rFonts w:ascii="Helvetica" w:hAnsi="Helvetica" w:cs="Arial"/>
          <w:bCs/>
          <w:sz w:val="16"/>
          <w:szCs w:val="16"/>
        </w:rPr>
      </w:pPr>
      <w:r w:rsidRPr="00A43AAB">
        <w:rPr>
          <w:rFonts w:ascii="Helvetica" w:hAnsi="Helvetica" w:cs="Arial"/>
          <w:bCs/>
          <w:sz w:val="16"/>
          <w:szCs w:val="16"/>
        </w:rPr>
        <w:t xml:space="preserve">Vous pouvez formuler une réclamation concernant le produit ou le comportement (i) de Quadrille Capital (ii) d’une personne qui fournit des conseils au sujet de ce produit, ou (iii) d’une personne qui vend ce produit en adressant un courrier électronique ou un courrier postal aux personnes suivantes, selon le cas : </w:t>
      </w:r>
    </w:p>
    <w:p w14:paraId="620ED709" w14:textId="77777777" w:rsidR="00F42F94" w:rsidRPr="00A43AAB" w:rsidRDefault="00F42F94" w:rsidP="007C5FFD">
      <w:pPr>
        <w:pStyle w:val="ListParagraph"/>
        <w:numPr>
          <w:ilvl w:val="0"/>
          <w:numId w:val="9"/>
        </w:numPr>
        <w:autoSpaceDE w:val="0"/>
        <w:autoSpaceDN w:val="0"/>
        <w:adjustRightInd w:val="0"/>
        <w:spacing w:after="0" w:line="240" w:lineRule="auto"/>
        <w:ind w:left="-450" w:hanging="90"/>
        <w:jc w:val="both"/>
        <w:rPr>
          <w:rFonts w:ascii="Helvetica" w:hAnsi="Helvetica" w:cs="Arial"/>
          <w:bCs/>
          <w:sz w:val="16"/>
          <w:szCs w:val="16"/>
        </w:rPr>
      </w:pPr>
      <w:r w:rsidRPr="00A43AAB">
        <w:rPr>
          <w:rFonts w:ascii="Helvetica" w:hAnsi="Helvetica" w:cs="Arial"/>
          <w:bCs/>
          <w:sz w:val="16"/>
          <w:szCs w:val="16"/>
        </w:rPr>
        <w:t>Si votre réclamation concerne plus spécifiquement le produit lui-même ou le comportement de Quadrille Capital, vous pouvez adresser un courrier à l’adresse suivante : Quadrille Capital – 16 Place de la Madeleine, 75008 Paris. Nous vous invitons à consulter la procédure de traitement des réclamations disponible sur le site internet de la société (www.quadrillecapital.com) pour plus d’informations et notamment sur la possibilité d’un recours au Médiateur de l’Autorité des Marchés Financiers.</w:t>
      </w:r>
    </w:p>
    <w:p w14:paraId="6E5C5646" w14:textId="77777777" w:rsidR="00F42F94" w:rsidRPr="00A43AAB" w:rsidRDefault="00F42F94" w:rsidP="007C5FFD">
      <w:pPr>
        <w:pStyle w:val="ListParagraph"/>
        <w:numPr>
          <w:ilvl w:val="0"/>
          <w:numId w:val="9"/>
        </w:numPr>
        <w:autoSpaceDE w:val="0"/>
        <w:autoSpaceDN w:val="0"/>
        <w:adjustRightInd w:val="0"/>
        <w:spacing w:after="0" w:line="240" w:lineRule="auto"/>
        <w:ind w:left="-450" w:hanging="90"/>
        <w:jc w:val="both"/>
        <w:rPr>
          <w:rFonts w:ascii="Helvetica" w:hAnsi="Helvetica" w:cs="Arial"/>
          <w:bCs/>
          <w:sz w:val="16"/>
          <w:szCs w:val="16"/>
        </w:rPr>
      </w:pPr>
      <w:r w:rsidRPr="00A43AAB">
        <w:rPr>
          <w:rFonts w:ascii="Helvetica" w:hAnsi="Helvetica" w:cs="Arial"/>
          <w:bCs/>
          <w:sz w:val="16"/>
          <w:szCs w:val="16"/>
        </w:rPr>
        <w:t xml:space="preserve">Si votre réclamation concerne une personne qui vous fournit des conseils sur le produit ou bien qui vous le propose, veuillez contacter cette personne directement. </w:t>
      </w:r>
    </w:p>
    <w:p w14:paraId="6766ABBF" w14:textId="77777777" w:rsidR="00F42F94" w:rsidRPr="007F3B6B" w:rsidRDefault="00F42F94" w:rsidP="00BA5489">
      <w:pPr>
        <w:autoSpaceDE w:val="0"/>
        <w:autoSpaceDN w:val="0"/>
        <w:adjustRightInd w:val="0"/>
        <w:spacing w:after="0" w:line="240" w:lineRule="auto"/>
        <w:ind w:left="-810"/>
        <w:jc w:val="both"/>
        <w:rPr>
          <w:rFonts w:ascii="Helvetica" w:hAnsi="Helvetica" w:cs="Arial"/>
          <w:bCs/>
          <w:sz w:val="16"/>
          <w:szCs w:val="16"/>
        </w:rPr>
      </w:pPr>
    </w:p>
    <w:p w14:paraId="68D7A303" w14:textId="77777777" w:rsidR="00F42F94" w:rsidRPr="008604B0" w:rsidRDefault="00F42F94" w:rsidP="00BA5489">
      <w:pPr>
        <w:pBdr>
          <w:bottom w:val="single" w:sz="12" w:space="1" w:color="auto"/>
        </w:pBdr>
        <w:autoSpaceDE w:val="0"/>
        <w:autoSpaceDN w:val="0"/>
        <w:adjustRightInd w:val="0"/>
        <w:spacing w:after="0" w:line="240" w:lineRule="auto"/>
        <w:ind w:left="-810"/>
        <w:jc w:val="both"/>
        <w:rPr>
          <w:rFonts w:ascii="Helvetica" w:hAnsi="Helvetica" w:cs="Arial-BoldMT"/>
          <w:b/>
          <w:color w:val="1F497D" w:themeColor="text2"/>
          <w:sz w:val="18"/>
          <w:szCs w:val="18"/>
        </w:rPr>
      </w:pPr>
      <w:r w:rsidRPr="008604B0">
        <w:rPr>
          <w:rFonts w:ascii="Helvetica" w:hAnsi="Helvetica" w:cs="Arial-BoldMT"/>
          <w:b/>
          <w:color w:val="1F497D" w:themeColor="text2"/>
          <w:sz w:val="18"/>
          <w:szCs w:val="18"/>
        </w:rPr>
        <w:t>Autres informations pertinentes</w:t>
      </w:r>
    </w:p>
    <w:p w14:paraId="3395A81F" w14:textId="77777777" w:rsidR="00F42F94" w:rsidRPr="007F3B6B" w:rsidRDefault="00F42F94" w:rsidP="00BA5489">
      <w:pPr>
        <w:autoSpaceDE w:val="0"/>
        <w:autoSpaceDN w:val="0"/>
        <w:adjustRightInd w:val="0"/>
        <w:spacing w:after="0" w:line="240" w:lineRule="auto"/>
        <w:ind w:left="-810"/>
        <w:jc w:val="both"/>
        <w:rPr>
          <w:rFonts w:ascii="Helvetica" w:hAnsi="Helvetica" w:cs="Arial"/>
          <w:bCs/>
          <w:sz w:val="16"/>
          <w:szCs w:val="16"/>
        </w:rPr>
      </w:pPr>
      <w:r w:rsidRPr="007F3B6B">
        <w:rPr>
          <w:rFonts w:ascii="Helvetica" w:hAnsi="Helvetica" w:cs="Arial"/>
          <w:bCs/>
          <w:sz w:val="16"/>
          <w:szCs w:val="16"/>
        </w:rPr>
        <w:t>Les performances passées ne sont pas un indicateur fiable des performances futures.</w:t>
      </w:r>
    </w:p>
    <w:p w14:paraId="0F5F74AC" w14:textId="77777777" w:rsidR="00F42F94" w:rsidRPr="0073197C" w:rsidRDefault="00F42F94" w:rsidP="00BA5489">
      <w:pPr>
        <w:autoSpaceDE w:val="0"/>
        <w:autoSpaceDN w:val="0"/>
        <w:adjustRightInd w:val="0"/>
        <w:spacing w:after="0" w:line="240" w:lineRule="auto"/>
        <w:ind w:left="-810"/>
        <w:jc w:val="both"/>
        <w:rPr>
          <w:rFonts w:ascii="Helvetica" w:hAnsi="Helvetica" w:cs="Arial"/>
          <w:bCs/>
          <w:sz w:val="6"/>
          <w:szCs w:val="6"/>
        </w:rPr>
      </w:pPr>
    </w:p>
    <w:p w14:paraId="5C0BA1EE" w14:textId="77777777" w:rsidR="00F42F94" w:rsidRPr="007F3B6B" w:rsidRDefault="00F42F94" w:rsidP="00BA5489">
      <w:pPr>
        <w:autoSpaceDE w:val="0"/>
        <w:autoSpaceDN w:val="0"/>
        <w:adjustRightInd w:val="0"/>
        <w:spacing w:after="0" w:line="240" w:lineRule="auto"/>
        <w:ind w:left="-810"/>
        <w:jc w:val="both"/>
        <w:rPr>
          <w:rFonts w:ascii="Helvetica" w:hAnsi="Helvetica" w:cs="Arial"/>
          <w:bCs/>
          <w:sz w:val="16"/>
          <w:szCs w:val="16"/>
        </w:rPr>
      </w:pPr>
      <w:r w:rsidRPr="007F3B6B">
        <w:rPr>
          <w:rFonts w:ascii="Helvetica" w:hAnsi="Helvetica" w:cs="Arial"/>
          <w:bCs/>
          <w:sz w:val="16"/>
          <w:szCs w:val="16"/>
        </w:rPr>
        <w:t>Le prospectus du fonds, la dernière version du document d'informations clés ainsi que le dernier rapport annuel et les informations relatives aux performances passées des dix dernières années lorsque la donnée est disponible, peuvent être obtenus gratuitement sur notre site internet www.quadrillecapital.com, ou sur simple demande écrite à : Quadrille Capital – 16 Place de la Madeleine, 75008 Paris. Le Fonds peut être constitué d'autres types de parts. Vous pouvez trouver plus d'informations sur ces parts dans son prospectus ou sur le site internet: www.quadrillecapital.com.</w:t>
      </w:r>
    </w:p>
    <w:p w14:paraId="4550112F" w14:textId="77777777" w:rsidR="00F42F94" w:rsidRPr="0073197C" w:rsidRDefault="00F42F94" w:rsidP="00BA5489">
      <w:pPr>
        <w:autoSpaceDE w:val="0"/>
        <w:autoSpaceDN w:val="0"/>
        <w:adjustRightInd w:val="0"/>
        <w:spacing w:after="0" w:line="240" w:lineRule="auto"/>
        <w:ind w:left="-810"/>
        <w:jc w:val="both"/>
        <w:rPr>
          <w:rFonts w:ascii="Helvetica" w:hAnsi="Helvetica" w:cs="Arial"/>
          <w:bCs/>
          <w:sz w:val="6"/>
          <w:szCs w:val="6"/>
        </w:rPr>
      </w:pPr>
    </w:p>
    <w:p w14:paraId="2BB01D3B" w14:textId="77777777" w:rsidR="00F42F94" w:rsidRPr="007F3B6B" w:rsidRDefault="00F42F94" w:rsidP="00BA5489">
      <w:pPr>
        <w:autoSpaceDE w:val="0"/>
        <w:autoSpaceDN w:val="0"/>
        <w:adjustRightInd w:val="0"/>
        <w:spacing w:after="0" w:line="240" w:lineRule="auto"/>
        <w:ind w:left="-810"/>
        <w:jc w:val="both"/>
        <w:rPr>
          <w:rFonts w:ascii="Helvetica" w:hAnsi="Helvetica" w:cs="Arial"/>
          <w:bCs/>
          <w:sz w:val="16"/>
          <w:szCs w:val="16"/>
        </w:rPr>
      </w:pPr>
      <w:r w:rsidRPr="007F3B6B">
        <w:rPr>
          <w:rFonts w:ascii="Helvetica" w:hAnsi="Helvetica" w:cs="Arial"/>
          <w:bCs/>
          <w:sz w:val="16"/>
          <w:szCs w:val="16"/>
        </w:rPr>
        <w:t>Les informations relatives à la finance durable sont disponibles sur le lien suivant : https://www.quadrillecapital.com/esg</w:t>
      </w:r>
    </w:p>
    <w:p w14:paraId="1E5E1C27" w14:textId="77777777" w:rsidR="00F42F94" w:rsidRPr="0073197C" w:rsidRDefault="00F42F94" w:rsidP="00BA5489">
      <w:pPr>
        <w:autoSpaceDE w:val="0"/>
        <w:autoSpaceDN w:val="0"/>
        <w:adjustRightInd w:val="0"/>
        <w:spacing w:after="0" w:line="240" w:lineRule="auto"/>
        <w:ind w:left="-810"/>
        <w:jc w:val="both"/>
        <w:rPr>
          <w:rFonts w:ascii="Helvetica" w:hAnsi="Helvetica" w:cs="Arial"/>
          <w:bCs/>
          <w:sz w:val="6"/>
          <w:szCs w:val="6"/>
        </w:rPr>
      </w:pPr>
    </w:p>
    <w:p w14:paraId="1B6AD518" w14:textId="77777777" w:rsidR="00F42F94" w:rsidRPr="007F3B6B" w:rsidRDefault="00F42F94" w:rsidP="00BA5489">
      <w:pPr>
        <w:autoSpaceDE w:val="0"/>
        <w:autoSpaceDN w:val="0"/>
        <w:adjustRightInd w:val="0"/>
        <w:spacing w:after="0" w:line="240" w:lineRule="auto"/>
        <w:ind w:left="-810"/>
        <w:jc w:val="both"/>
        <w:rPr>
          <w:rFonts w:ascii="Helvetica" w:hAnsi="Helvetica" w:cs="Arial"/>
          <w:bCs/>
          <w:sz w:val="16"/>
          <w:szCs w:val="16"/>
        </w:rPr>
      </w:pPr>
      <w:r w:rsidRPr="007F3B6B">
        <w:rPr>
          <w:rFonts w:ascii="Helvetica" w:hAnsi="Helvetica" w:cs="Arial"/>
          <w:bCs/>
          <w:sz w:val="16"/>
          <w:szCs w:val="16"/>
        </w:rPr>
        <w:t>Selon votre régime fiscal, les plus-values et revenus éventuels liés à la détention de parts du Fonds peuvent être soumis à taxation. Nous vous conseillons de vous renseigner à ce sujet auprès du commercialisateur du Fonds ou de votre conseiller fiscal.</w:t>
      </w:r>
    </w:p>
    <w:p w14:paraId="6C7DB3C9" w14:textId="77777777" w:rsidR="00F42F94" w:rsidRPr="0073197C" w:rsidRDefault="00F42F94" w:rsidP="00BA5489">
      <w:pPr>
        <w:autoSpaceDE w:val="0"/>
        <w:autoSpaceDN w:val="0"/>
        <w:adjustRightInd w:val="0"/>
        <w:spacing w:after="0" w:line="240" w:lineRule="auto"/>
        <w:ind w:left="-810"/>
        <w:jc w:val="both"/>
        <w:rPr>
          <w:rFonts w:ascii="Helvetica" w:hAnsi="Helvetica" w:cs="Arial"/>
          <w:bCs/>
          <w:sz w:val="6"/>
          <w:szCs w:val="6"/>
        </w:rPr>
      </w:pPr>
    </w:p>
    <w:p w14:paraId="2B45B38E" w14:textId="777439BB" w:rsidR="00121EBD" w:rsidRPr="007F3B6B" w:rsidRDefault="00F42F94" w:rsidP="00263DCB">
      <w:pPr>
        <w:autoSpaceDE w:val="0"/>
        <w:autoSpaceDN w:val="0"/>
        <w:adjustRightInd w:val="0"/>
        <w:spacing w:after="0" w:line="240" w:lineRule="auto"/>
        <w:ind w:left="-810"/>
        <w:jc w:val="both"/>
        <w:rPr>
          <w:rFonts w:ascii="Helvetica" w:hAnsi="Helvetica" w:cs="Arial"/>
          <w:bCs/>
          <w:sz w:val="16"/>
          <w:szCs w:val="16"/>
        </w:rPr>
      </w:pPr>
      <w:r w:rsidRPr="007F3B6B">
        <w:rPr>
          <w:rFonts w:ascii="Helvetica" w:hAnsi="Helvetica" w:cs="Arial"/>
          <w:bCs/>
          <w:sz w:val="16"/>
          <w:szCs w:val="16"/>
        </w:rPr>
        <w:t>La responsabilité de Quadrille Capital ne peut être engagée que sur la base des déclarations contenues dans le présent document qui seraient trompeuses, inexactes ou non cohérentes avec les parties correspondantes du prospectus.</w:t>
      </w:r>
    </w:p>
    <w:sectPr w:rsidR="00121EBD" w:rsidRPr="007F3B6B" w:rsidSect="00263DCB">
      <w:pgSz w:w="11905" w:h="16837"/>
      <w:pgMar w:top="951" w:right="205" w:bottom="709" w:left="1080" w:header="403" w:footer="40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BE8B" w14:textId="77777777" w:rsidR="00EF72A9" w:rsidRDefault="00EF72A9" w:rsidP="00A55B2E">
      <w:pPr>
        <w:spacing w:after="0" w:line="240" w:lineRule="auto"/>
      </w:pPr>
      <w:r>
        <w:separator/>
      </w:r>
    </w:p>
  </w:endnote>
  <w:endnote w:type="continuationSeparator" w:id="0">
    <w:p w14:paraId="23A14567" w14:textId="77777777" w:rsidR="00EF72A9" w:rsidRDefault="00EF72A9" w:rsidP="00A5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7A55" w14:textId="5581D321" w:rsidR="005C7783" w:rsidRPr="00586DB3" w:rsidRDefault="00586DB3" w:rsidP="00586DB3">
    <w:pPr>
      <w:widowControl w:val="0"/>
      <w:autoSpaceDE w:val="0"/>
      <w:autoSpaceDN w:val="0"/>
      <w:adjustRightInd w:val="0"/>
      <w:spacing w:after="0" w:line="240" w:lineRule="auto"/>
      <w:jc w:val="center"/>
      <w:rPr>
        <w:rFonts w:ascii="Helvetica" w:hAnsi="Helvetica" w:cs="Helvetica"/>
        <w:sz w:val="16"/>
        <w:szCs w:val="16"/>
        <w:lang w:val="en-US"/>
      </w:rPr>
    </w:pPr>
    <w:r w:rsidRPr="00D56E74">
      <w:rPr>
        <w:rFonts w:ascii="Helvetica" w:hAnsi="Helvetica" w:cs="Helvetica"/>
        <w:sz w:val="16"/>
        <w:szCs w:val="16"/>
        <w:lang w:val="en-US"/>
      </w:rPr>
      <w:t xml:space="preserve">Disruption Fund </w:t>
    </w:r>
    <w:r w:rsidR="00037DDC">
      <w:rPr>
        <w:rFonts w:ascii="Helvetica" w:hAnsi="Helvetica" w:cs="Helvetica"/>
        <w:sz w:val="16"/>
        <w:szCs w:val="16"/>
        <w:lang w:val="en-US"/>
      </w:rPr>
      <w:t>Alpha</w:t>
    </w:r>
    <w:r w:rsidRPr="00D56E74">
      <w:rPr>
        <w:rFonts w:ascii="Helvetica" w:hAnsi="Helvetica" w:cs="Helvetica"/>
        <w:sz w:val="16"/>
        <w:szCs w:val="16"/>
        <w:lang w:val="en-US"/>
      </w:rPr>
      <w:t xml:space="preserve"> (Part </w:t>
    </w:r>
    <w:r w:rsidR="00604459">
      <w:rPr>
        <w:rFonts w:ascii="Helvetica" w:hAnsi="Helvetica" w:cs="Helvetica"/>
        <w:sz w:val="16"/>
        <w:szCs w:val="16"/>
        <w:lang w:val="en-US"/>
      </w:rPr>
      <w:t>B</w:t>
    </w:r>
    <w:r w:rsidRPr="00D56E74">
      <w:rPr>
        <w:rFonts w:ascii="Helvetica" w:hAnsi="Helvetica" w:cs="Helvetica"/>
        <w:sz w:val="16"/>
        <w:szCs w:val="16"/>
        <w:lang w:val="en-US"/>
      </w:rPr>
      <w:t xml:space="preserve">) - </w:t>
    </w:r>
    <w:r w:rsidR="007D4215" w:rsidRPr="000D7B2E">
      <w:rPr>
        <w:rFonts w:ascii="Helvetica" w:hAnsi="Helvetica" w:cs="Helvetica"/>
        <w:sz w:val="16"/>
        <w:szCs w:val="16"/>
        <w:lang w:val="en-US"/>
      </w:rPr>
      <w:t>FR00</w:t>
    </w:r>
    <w:r w:rsidR="00037DDC" w:rsidRPr="00037DDC">
      <w:rPr>
        <w:rFonts w:ascii="Helvetica" w:hAnsi="Helvetica" w:cs="Helvetica"/>
        <w:sz w:val="16"/>
        <w:szCs w:val="16"/>
        <w:lang w:val="en-US"/>
      </w:rPr>
      <w:t>12770162</w:t>
    </w:r>
    <w:r w:rsidRPr="00D56E74">
      <w:rPr>
        <w:rFonts w:ascii="Helvetica" w:hAnsi="Helvetica" w:cs="Helvetica"/>
        <w:sz w:val="16"/>
        <w:szCs w:val="16"/>
        <w:lang w:val="en-US"/>
      </w:rPr>
      <w:t xml:space="preserve"> – 13/02/2013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B0C8" w14:textId="6E606578" w:rsidR="009E3AD9" w:rsidRPr="009E3AD9" w:rsidRDefault="009E3AD9" w:rsidP="009E3AD9">
    <w:pPr>
      <w:pStyle w:val="Footer"/>
      <w:jc w:val="center"/>
      <w:rPr>
        <w:lang w:val="en-US"/>
      </w:rPr>
    </w:pPr>
    <w:r w:rsidRPr="00D56E74">
      <w:rPr>
        <w:rFonts w:ascii="Helvetica" w:hAnsi="Helvetica" w:cs="Helvetica"/>
        <w:sz w:val="16"/>
        <w:szCs w:val="16"/>
        <w:lang w:val="en-US"/>
      </w:rPr>
      <w:t xml:space="preserve">Disruption Fund </w:t>
    </w:r>
    <w:r>
      <w:rPr>
        <w:rFonts w:ascii="Helvetica" w:hAnsi="Helvetica" w:cs="Helvetica"/>
        <w:sz w:val="16"/>
        <w:szCs w:val="16"/>
        <w:lang w:val="en-US"/>
      </w:rPr>
      <w:t>Alpha</w:t>
    </w:r>
    <w:r w:rsidRPr="00D56E74">
      <w:rPr>
        <w:rFonts w:ascii="Helvetica" w:hAnsi="Helvetica" w:cs="Helvetica"/>
        <w:sz w:val="16"/>
        <w:szCs w:val="16"/>
        <w:lang w:val="en-US"/>
      </w:rPr>
      <w:t xml:space="preserve"> (Part </w:t>
    </w:r>
    <w:r>
      <w:rPr>
        <w:rFonts w:ascii="Helvetica" w:hAnsi="Helvetica" w:cs="Helvetica"/>
        <w:sz w:val="16"/>
        <w:szCs w:val="16"/>
        <w:lang w:val="en-US"/>
      </w:rPr>
      <w:t>C</w:t>
    </w:r>
    <w:r w:rsidRPr="00D56E74">
      <w:rPr>
        <w:rFonts w:ascii="Helvetica" w:hAnsi="Helvetica" w:cs="Helvetica"/>
        <w:sz w:val="16"/>
        <w:szCs w:val="16"/>
        <w:lang w:val="en-US"/>
      </w:rPr>
      <w:t xml:space="preserve">) - </w:t>
    </w:r>
    <w:r w:rsidRPr="009E3AD9">
      <w:rPr>
        <w:rFonts w:ascii="Helvetica" w:hAnsi="Helvetica" w:cs="Helvetica"/>
        <w:sz w:val="16"/>
        <w:szCs w:val="16"/>
        <w:lang w:val="en-US"/>
      </w:rPr>
      <w:t>FR0014000U71</w:t>
    </w:r>
    <w:r w:rsidRPr="00D56E74">
      <w:rPr>
        <w:rFonts w:ascii="Helvetica" w:hAnsi="Helvetica" w:cs="Helvetica"/>
        <w:sz w:val="16"/>
        <w:szCs w:val="16"/>
        <w:lang w:val="en-US"/>
      </w:rPr>
      <w:t xml:space="preserve"> – </w:t>
    </w:r>
    <w:r w:rsidR="001D4553">
      <w:rPr>
        <w:rFonts w:ascii="Helvetica" w:hAnsi="Helvetica" w:cs="Helvetica"/>
        <w:sz w:val="16"/>
        <w:szCs w:val="16"/>
        <w:lang w:val="en-US"/>
      </w:rPr>
      <w:t>15/03/2024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38A2" w14:textId="77777777" w:rsidR="00EF72A9" w:rsidRDefault="00EF72A9" w:rsidP="00A55B2E">
      <w:pPr>
        <w:spacing w:after="0" w:line="240" w:lineRule="auto"/>
      </w:pPr>
      <w:r>
        <w:separator/>
      </w:r>
    </w:p>
  </w:footnote>
  <w:footnote w:type="continuationSeparator" w:id="0">
    <w:p w14:paraId="45B4AD88" w14:textId="77777777" w:rsidR="00EF72A9" w:rsidRDefault="00EF72A9" w:rsidP="00A55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5A6"/>
    <w:multiLevelType w:val="hybridMultilevel"/>
    <w:tmpl w:val="846CBB62"/>
    <w:lvl w:ilvl="0" w:tplc="0AAA5E50">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E754B"/>
    <w:multiLevelType w:val="hybridMultilevel"/>
    <w:tmpl w:val="191221F2"/>
    <w:lvl w:ilvl="0" w:tplc="B3A8E0EA">
      <w:numFmt w:val="bullet"/>
      <w:lvlText w:val="•"/>
      <w:lvlJc w:val="left"/>
      <w:pPr>
        <w:ind w:left="280" w:hanging="161"/>
      </w:pPr>
      <w:rPr>
        <w:rFonts w:ascii="Arial" w:eastAsia="Arial" w:hAnsi="Arial" w:cs="Arial" w:hint="default"/>
        <w:b w:val="0"/>
        <w:bCs w:val="0"/>
        <w:i w:val="0"/>
        <w:iCs w:val="0"/>
        <w:color w:val="333333"/>
        <w:w w:val="107"/>
        <w:sz w:val="16"/>
        <w:szCs w:val="16"/>
        <w:lang w:val="fr-FR" w:eastAsia="en-US" w:bidi="ar-SA"/>
      </w:rPr>
    </w:lvl>
    <w:lvl w:ilvl="1" w:tplc="11C07048">
      <w:numFmt w:val="bullet"/>
      <w:lvlText w:val="•"/>
      <w:lvlJc w:val="left"/>
      <w:pPr>
        <w:ind w:left="1386" w:hanging="161"/>
      </w:pPr>
      <w:rPr>
        <w:rFonts w:hint="default"/>
        <w:lang w:val="fr-FR" w:eastAsia="en-US" w:bidi="ar-SA"/>
      </w:rPr>
    </w:lvl>
    <w:lvl w:ilvl="2" w:tplc="DA0EEC62">
      <w:numFmt w:val="bullet"/>
      <w:lvlText w:val="•"/>
      <w:lvlJc w:val="left"/>
      <w:pPr>
        <w:ind w:left="2493" w:hanging="161"/>
      </w:pPr>
      <w:rPr>
        <w:rFonts w:hint="default"/>
        <w:lang w:val="fr-FR" w:eastAsia="en-US" w:bidi="ar-SA"/>
      </w:rPr>
    </w:lvl>
    <w:lvl w:ilvl="3" w:tplc="01B6F1E4">
      <w:numFmt w:val="bullet"/>
      <w:lvlText w:val="•"/>
      <w:lvlJc w:val="left"/>
      <w:pPr>
        <w:ind w:left="3599" w:hanging="161"/>
      </w:pPr>
      <w:rPr>
        <w:rFonts w:hint="default"/>
        <w:lang w:val="fr-FR" w:eastAsia="en-US" w:bidi="ar-SA"/>
      </w:rPr>
    </w:lvl>
    <w:lvl w:ilvl="4" w:tplc="3E9C37FC">
      <w:numFmt w:val="bullet"/>
      <w:lvlText w:val="•"/>
      <w:lvlJc w:val="left"/>
      <w:pPr>
        <w:ind w:left="4706" w:hanging="161"/>
      </w:pPr>
      <w:rPr>
        <w:rFonts w:hint="default"/>
        <w:lang w:val="fr-FR" w:eastAsia="en-US" w:bidi="ar-SA"/>
      </w:rPr>
    </w:lvl>
    <w:lvl w:ilvl="5" w:tplc="20280D96">
      <w:numFmt w:val="bullet"/>
      <w:lvlText w:val="•"/>
      <w:lvlJc w:val="left"/>
      <w:pPr>
        <w:ind w:left="5813" w:hanging="161"/>
      </w:pPr>
      <w:rPr>
        <w:rFonts w:hint="default"/>
        <w:lang w:val="fr-FR" w:eastAsia="en-US" w:bidi="ar-SA"/>
      </w:rPr>
    </w:lvl>
    <w:lvl w:ilvl="6" w:tplc="9A96160A">
      <w:numFmt w:val="bullet"/>
      <w:lvlText w:val="•"/>
      <w:lvlJc w:val="left"/>
      <w:pPr>
        <w:ind w:left="6919" w:hanging="161"/>
      </w:pPr>
      <w:rPr>
        <w:rFonts w:hint="default"/>
        <w:lang w:val="fr-FR" w:eastAsia="en-US" w:bidi="ar-SA"/>
      </w:rPr>
    </w:lvl>
    <w:lvl w:ilvl="7" w:tplc="D4460BC4">
      <w:numFmt w:val="bullet"/>
      <w:lvlText w:val="•"/>
      <w:lvlJc w:val="left"/>
      <w:pPr>
        <w:ind w:left="8026" w:hanging="161"/>
      </w:pPr>
      <w:rPr>
        <w:rFonts w:hint="default"/>
        <w:lang w:val="fr-FR" w:eastAsia="en-US" w:bidi="ar-SA"/>
      </w:rPr>
    </w:lvl>
    <w:lvl w:ilvl="8" w:tplc="D3644D6E">
      <w:numFmt w:val="bullet"/>
      <w:lvlText w:val="•"/>
      <w:lvlJc w:val="left"/>
      <w:pPr>
        <w:ind w:left="9132" w:hanging="161"/>
      </w:pPr>
      <w:rPr>
        <w:rFonts w:hint="default"/>
        <w:lang w:val="fr-FR" w:eastAsia="en-US" w:bidi="ar-SA"/>
      </w:rPr>
    </w:lvl>
  </w:abstractNum>
  <w:abstractNum w:abstractNumId="2" w15:restartNumberingAfterBreak="0">
    <w:nsid w:val="123F3E75"/>
    <w:multiLevelType w:val="hybridMultilevel"/>
    <w:tmpl w:val="B672BB50"/>
    <w:lvl w:ilvl="0" w:tplc="3AE869B0">
      <w:start w:val="1"/>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7407A"/>
    <w:multiLevelType w:val="hybridMultilevel"/>
    <w:tmpl w:val="B5564616"/>
    <w:lvl w:ilvl="0" w:tplc="4FF03700">
      <w:numFmt w:val="bullet"/>
      <w:lvlText w:val="•"/>
      <w:lvlJc w:val="left"/>
      <w:pPr>
        <w:ind w:left="280" w:hanging="161"/>
      </w:pPr>
      <w:rPr>
        <w:rFonts w:ascii="Arial" w:eastAsia="Arial" w:hAnsi="Arial" w:cs="Arial" w:hint="default"/>
        <w:b w:val="0"/>
        <w:bCs w:val="0"/>
        <w:i w:val="0"/>
        <w:iCs w:val="0"/>
        <w:color w:val="333333"/>
        <w:w w:val="107"/>
        <w:sz w:val="16"/>
        <w:szCs w:val="16"/>
        <w:lang w:val="fr-FR" w:eastAsia="en-US" w:bidi="ar-SA"/>
      </w:rPr>
    </w:lvl>
    <w:lvl w:ilvl="1" w:tplc="89727E18">
      <w:numFmt w:val="bullet"/>
      <w:lvlText w:val="•"/>
      <w:lvlJc w:val="left"/>
      <w:pPr>
        <w:ind w:left="1386" w:hanging="161"/>
      </w:pPr>
      <w:rPr>
        <w:rFonts w:hint="default"/>
        <w:lang w:val="fr-FR" w:eastAsia="en-US" w:bidi="ar-SA"/>
      </w:rPr>
    </w:lvl>
    <w:lvl w:ilvl="2" w:tplc="FBD26C1C">
      <w:numFmt w:val="bullet"/>
      <w:lvlText w:val="•"/>
      <w:lvlJc w:val="left"/>
      <w:pPr>
        <w:ind w:left="2493" w:hanging="161"/>
      </w:pPr>
      <w:rPr>
        <w:rFonts w:hint="default"/>
        <w:lang w:val="fr-FR" w:eastAsia="en-US" w:bidi="ar-SA"/>
      </w:rPr>
    </w:lvl>
    <w:lvl w:ilvl="3" w:tplc="0E24F442">
      <w:numFmt w:val="bullet"/>
      <w:lvlText w:val="•"/>
      <w:lvlJc w:val="left"/>
      <w:pPr>
        <w:ind w:left="3599" w:hanging="161"/>
      </w:pPr>
      <w:rPr>
        <w:rFonts w:hint="default"/>
        <w:lang w:val="fr-FR" w:eastAsia="en-US" w:bidi="ar-SA"/>
      </w:rPr>
    </w:lvl>
    <w:lvl w:ilvl="4" w:tplc="15A260E2">
      <w:numFmt w:val="bullet"/>
      <w:lvlText w:val="•"/>
      <w:lvlJc w:val="left"/>
      <w:pPr>
        <w:ind w:left="4706" w:hanging="161"/>
      </w:pPr>
      <w:rPr>
        <w:rFonts w:hint="default"/>
        <w:lang w:val="fr-FR" w:eastAsia="en-US" w:bidi="ar-SA"/>
      </w:rPr>
    </w:lvl>
    <w:lvl w:ilvl="5" w:tplc="2462074A">
      <w:numFmt w:val="bullet"/>
      <w:lvlText w:val="•"/>
      <w:lvlJc w:val="left"/>
      <w:pPr>
        <w:ind w:left="5813" w:hanging="161"/>
      </w:pPr>
      <w:rPr>
        <w:rFonts w:hint="default"/>
        <w:lang w:val="fr-FR" w:eastAsia="en-US" w:bidi="ar-SA"/>
      </w:rPr>
    </w:lvl>
    <w:lvl w:ilvl="6" w:tplc="225447F4">
      <w:numFmt w:val="bullet"/>
      <w:lvlText w:val="•"/>
      <w:lvlJc w:val="left"/>
      <w:pPr>
        <w:ind w:left="6919" w:hanging="161"/>
      </w:pPr>
      <w:rPr>
        <w:rFonts w:hint="default"/>
        <w:lang w:val="fr-FR" w:eastAsia="en-US" w:bidi="ar-SA"/>
      </w:rPr>
    </w:lvl>
    <w:lvl w:ilvl="7" w:tplc="D80CC40C">
      <w:numFmt w:val="bullet"/>
      <w:lvlText w:val="•"/>
      <w:lvlJc w:val="left"/>
      <w:pPr>
        <w:ind w:left="8026" w:hanging="161"/>
      </w:pPr>
      <w:rPr>
        <w:rFonts w:hint="default"/>
        <w:lang w:val="fr-FR" w:eastAsia="en-US" w:bidi="ar-SA"/>
      </w:rPr>
    </w:lvl>
    <w:lvl w:ilvl="8" w:tplc="8AE4D48C">
      <w:numFmt w:val="bullet"/>
      <w:lvlText w:val="•"/>
      <w:lvlJc w:val="left"/>
      <w:pPr>
        <w:ind w:left="9132" w:hanging="161"/>
      </w:pPr>
      <w:rPr>
        <w:rFonts w:hint="default"/>
        <w:lang w:val="fr-FR" w:eastAsia="en-US" w:bidi="ar-SA"/>
      </w:rPr>
    </w:lvl>
  </w:abstractNum>
  <w:abstractNum w:abstractNumId="4" w15:restartNumberingAfterBreak="0">
    <w:nsid w:val="2130592E"/>
    <w:multiLevelType w:val="hybridMultilevel"/>
    <w:tmpl w:val="FABEDE24"/>
    <w:lvl w:ilvl="0" w:tplc="3AE869B0">
      <w:start w:val="1"/>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421A"/>
    <w:multiLevelType w:val="hybridMultilevel"/>
    <w:tmpl w:val="074AFBF6"/>
    <w:lvl w:ilvl="0" w:tplc="F9B40DFE">
      <w:numFmt w:val="bullet"/>
      <w:lvlText w:val="-"/>
      <w:lvlJc w:val="left"/>
      <w:pPr>
        <w:ind w:left="720" w:hanging="360"/>
      </w:pPr>
      <w:rPr>
        <w:rFonts w:ascii="Helvetica" w:eastAsiaTheme="minorEastAsia"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966BD"/>
    <w:multiLevelType w:val="hybridMultilevel"/>
    <w:tmpl w:val="73167AB6"/>
    <w:lvl w:ilvl="0" w:tplc="1862EC32">
      <w:numFmt w:val="bullet"/>
      <w:lvlText w:val="•"/>
      <w:lvlJc w:val="left"/>
      <w:pPr>
        <w:ind w:left="162" w:hanging="161"/>
      </w:pPr>
      <w:rPr>
        <w:rFonts w:ascii="Arial" w:eastAsia="Arial" w:hAnsi="Arial" w:cs="Arial" w:hint="default"/>
        <w:b w:val="0"/>
        <w:bCs w:val="0"/>
        <w:i w:val="0"/>
        <w:iCs w:val="0"/>
        <w:color w:val="333333"/>
        <w:w w:val="107"/>
        <w:sz w:val="16"/>
        <w:szCs w:val="16"/>
        <w:lang w:val="fr-FR" w:eastAsia="en-US" w:bidi="ar-SA"/>
      </w:rPr>
    </w:lvl>
    <w:lvl w:ilvl="1" w:tplc="BAF27DC6">
      <w:numFmt w:val="bullet"/>
      <w:lvlText w:val="•"/>
      <w:lvlJc w:val="left"/>
      <w:pPr>
        <w:ind w:left="645" w:hanging="161"/>
      </w:pPr>
      <w:rPr>
        <w:rFonts w:hint="default"/>
        <w:lang w:val="fr-FR" w:eastAsia="en-US" w:bidi="ar-SA"/>
      </w:rPr>
    </w:lvl>
    <w:lvl w:ilvl="2" w:tplc="98E290C2">
      <w:numFmt w:val="bullet"/>
      <w:lvlText w:val="•"/>
      <w:lvlJc w:val="left"/>
      <w:pPr>
        <w:ind w:left="1131" w:hanging="161"/>
      </w:pPr>
      <w:rPr>
        <w:rFonts w:hint="default"/>
        <w:lang w:val="fr-FR" w:eastAsia="en-US" w:bidi="ar-SA"/>
      </w:rPr>
    </w:lvl>
    <w:lvl w:ilvl="3" w:tplc="0428D56C">
      <w:numFmt w:val="bullet"/>
      <w:lvlText w:val="•"/>
      <w:lvlJc w:val="left"/>
      <w:pPr>
        <w:ind w:left="1616" w:hanging="161"/>
      </w:pPr>
      <w:rPr>
        <w:rFonts w:hint="default"/>
        <w:lang w:val="fr-FR" w:eastAsia="en-US" w:bidi="ar-SA"/>
      </w:rPr>
    </w:lvl>
    <w:lvl w:ilvl="4" w:tplc="2820D8E2">
      <w:numFmt w:val="bullet"/>
      <w:lvlText w:val="•"/>
      <w:lvlJc w:val="left"/>
      <w:pPr>
        <w:ind w:left="2102" w:hanging="161"/>
      </w:pPr>
      <w:rPr>
        <w:rFonts w:hint="default"/>
        <w:lang w:val="fr-FR" w:eastAsia="en-US" w:bidi="ar-SA"/>
      </w:rPr>
    </w:lvl>
    <w:lvl w:ilvl="5" w:tplc="D9F644D6">
      <w:numFmt w:val="bullet"/>
      <w:lvlText w:val="•"/>
      <w:lvlJc w:val="left"/>
      <w:pPr>
        <w:ind w:left="2587" w:hanging="161"/>
      </w:pPr>
      <w:rPr>
        <w:rFonts w:hint="default"/>
        <w:lang w:val="fr-FR" w:eastAsia="en-US" w:bidi="ar-SA"/>
      </w:rPr>
    </w:lvl>
    <w:lvl w:ilvl="6" w:tplc="45064252">
      <w:numFmt w:val="bullet"/>
      <w:lvlText w:val="•"/>
      <w:lvlJc w:val="left"/>
      <w:pPr>
        <w:ind w:left="3073" w:hanging="161"/>
      </w:pPr>
      <w:rPr>
        <w:rFonts w:hint="default"/>
        <w:lang w:val="fr-FR" w:eastAsia="en-US" w:bidi="ar-SA"/>
      </w:rPr>
    </w:lvl>
    <w:lvl w:ilvl="7" w:tplc="C5F03E88">
      <w:numFmt w:val="bullet"/>
      <w:lvlText w:val="•"/>
      <w:lvlJc w:val="left"/>
      <w:pPr>
        <w:ind w:left="3558" w:hanging="161"/>
      </w:pPr>
      <w:rPr>
        <w:rFonts w:hint="default"/>
        <w:lang w:val="fr-FR" w:eastAsia="en-US" w:bidi="ar-SA"/>
      </w:rPr>
    </w:lvl>
    <w:lvl w:ilvl="8" w:tplc="61C05E68">
      <w:numFmt w:val="bullet"/>
      <w:lvlText w:val="•"/>
      <w:lvlJc w:val="left"/>
      <w:pPr>
        <w:ind w:left="4044" w:hanging="161"/>
      </w:pPr>
      <w:rPr>
        <w:rFonts w:hint="default"/>
        <w:lang w:val="fr-FR" w:eastAsia="en-US" w:bidi="ar-SA"/>
      </w:rPr>
    </w:lvl>
  </w:abstractNum>
  <w:abstractNum w:abstractNumId="7" w15:restartNumberingAfterBreak="0">
    <w:nsid w:val="54951C14"/>
    <w:multiLevelType w:val="hybridMultilevel"/>
    <w:tmpl w:val="B466205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58E248D"/>
    <w:multiLevelType w:val="hybridMultilevel"/>
    <w:tmpl w:val="B80630DC"/>
    <w:lvl w:ilvl="0" w:tplc="98520FC8">
      <w:start w:val="20"/>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8E37BE"/>
    <w:multiLevelType w:val="hybridMultilevel"/>
    <w:tmpl w:val="278A5362"/>
    <w:lvl w:ilvl="0" w:tplc="3D30A980">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E15E5670">
      <w:start w:val="1"/>
      <w:numFmt w:val="decimal"/>
      <w:lvlText w:val="%3."/>
      <w:lvlJc w:val="left"/>
      <w:pPr>
        <w:ind w:left="2340" w:hanging="360"/>
      </w:pPr>
      <w:rPr>
        <w:rFonts w:cs="Times New Roman" w:hint="default"/>
      </w:rPr>
    </w:lvl>
    <w:lvl w:ilvl="3" w:tplc="3AE869B0">
      <w:start w:val="1"/>
      <w:numFmt w:val="bullet"/>
      <w:lvlText w:val="-"/>
      <w:lvlJc w:val="left"/>
      <w:pPr>
        <w:ind w:left="2880" w:hanging="360"/>
      </w:pPr>
      <w:rPr>
        <w:rFonts w:ascii="Helvetica" w:eastAsia="Times New Roman" w:hAnsi="Helvetica"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7CC607C4"/>
    <w:multiLevelType w:val="hybridMultilevel"/>
    <w:tmpl w:val="48C4D55E"/>
    <w:lvl w:ilvl="0" w:tplc="5CF2229E">
      <w:numFmt w:val="bullet"/>
      <w:lvlText w:val="-"/>
      <w:lvlJc w:val="left"/>
      <w:pPr>
        <w:ind w:left="720" w:hanging="360"/>
      </w:pPr>
      <w:rPr>
        <w:rFonts w:ascii="Helvetica" w:eastAsiaTheme="minorEastAsia"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E1292C"/>
    <w:multiLevelType w:val="hybridMultilevel"/>
    <w:tmpl w:val="91563440"/>
    <w:lvl w:ilvl="0" w:tplc="EAC8C208">
      <w:numFmt w:val="bullet"/>
      <w:lvlText w:val="•"/>
      <w:lvlJc w:val="left"/>
      <w:pPr>
        <w:ind w:left="162" w:hanging="161"/>
      </w:pPr>
      <w:rPr>
        <w:rFonts w:ascii="Arial" w:eastAsia="Arial" w:hAnsi="Arial" w:cs="Arial" w:hint="default"/>
        <w:b w:val="0"/>
        <w:bCs w:val="0"/>
        <w:i w:val="0"/>
        <w:iCs w:val="0"/>
        <w:color w:val="333333"/>
        <w:w w:val="107"/>
        <w:sz w:val="16"/>
        <w:szCs w:val="16"/>
        <w:lang w:val="fr-FR" w:eastAsia="en-US" w:bidi="ar-SA"/>
      </w:rPr>
    </w:lvl>
    <w:lvl w:ilvl="1" w:tplc="5A2A6724">
      <w:numFmt w:val="bullet"/>
      <w:lvlText w:val="•"/>
      <w:lvlJc w:val="left"/>
      <w:pPr>
        <w:ind w:left="645" w:hanging="161"/>
      </w:pPr>
      <w:rPr>
        <w:rFonts w:hint="default"/>
        <w:lang w:val="fr-FR" w:eastAsia="en-US" w:bidi="ar-SA"/>
      </w:rPr>
    </w:lvl>
    <w:lvl w:ilvl="2" w:tplc="5810E08A">
      <w:numFmt w:val="bullet"/>
      <w:lvlText w:val="•"/>
      <w:lvlJc w:val="left"/>
      <w:pPr>
        <w:ind w:left="1131" w:hanging="161"/>
      </w:pPr>
      <w:rPr>
        <w:rFonts w:hint="default"/>
        <w:lang w:val="fr-FR" w:eastAsia="en-US" w:bidi="ar-SA"/>
      </w:rPr>
    </w:lvl>
    <w:lvl w:ilvl="3" w:tplc="8F94B54A">
      <w:numFmt w:val="bullet"/>
      <w:lvlText w:val="•"/>
      <w:lvlJc w:val="left"/>
      <w:pPr>
        <w:ind w:left="1616" w:hanging="161"/>
      </w:pPr>
      <w:rPr>
        <w:rFonts w:hint="default"/>
        <w:lang w:val="fr-FR" w:eastAsia="en-US" w:bidi="ar-SA"/>
      </w:rPr>
    </w:lvl>
    <w:lvl w:ilvl="4" w:tplc="59F21DA0">
      <w:numFmt w:val="bullet"/>
      <w:lvlText w:val="•"/>
      <w:lvlJc w:val="left"/>
      <w:pPr>
        <w:ind w:left="2102" w:hanging="161"/>
      </w:pPr>
      <w:rPr>
        <w:rFonts w:hint="default"/>
        <w:lang w:val="fr-FR" w:eastAsia="en-US" w:bidi="ar-SA"/>
      </w:rPr>
    </w:lvl>
    <w:lvl w:ilvl="5" w:tplc="C232B062">
      <w:numFmt w:val="bullet"/>
      <w:lvlText w:val="•"/>
      <w:lvlJc w:val="left"/>
      <w:pPr>
        <w:ind w:left="2587" w:hanging="161"/>
      </w:pPr>
      <w:rPr>
        <w:rFonts w:hint="default"/>
        <w:lang w:val="fr-FR" w:eastAsia="en-US" w:bidi="ar-SA"/>
      </w:rPr>
    </w:lvl>
    <w:lvl w:ilvl="6" w:tplc="2B7C7BE0">
      <w:numFmt w:val="bullet"/>
      <w:lvlText w:val="•"/>
      <w:lvlJc w:val="left"/>
      <w:pPr>
        <w:ind w:left="3073" w:hanging="161"/>
      </w:pPr>
      <w:rPr>
        <w:rFonts w:hint="default"/>
        <w:lang w:val="fr-FR" w:eastAsia="en-US" w:bidi="ar-SA"/>
      </w:rPr>
    </w:lvl>
    <w:lvl w:ilvl="7" w:tplc="E2AC94D2">
      <w:numFmt w:val="bullet"/>
      <w:lvlText w:val="•"/>
      <w:lvlJc w:val="left"/>
      <w:pPr>
        <w:ind w:left="3558" w:hanging="161"/>
      </w:pPr>
      <w:rPr>
        <w:rFonts w:hint="default"/>
        <w:lang w:val="fr-FR" w:eastAsia="en-US" w:bidi="ar-SA"/>
      </w:rPr>
    </w:lvl>
    <w:lvl w:ilvl="8" w:tplc="B2C0F518">
      <w:numFmt w:val="bullet"/>
      <w:lvlText w:val="•"/>
      <w:lvlJc w:val="left"/>
      <w:pPr>
        <w:ind w:left="4044" w:hanging="161"/>
      </w:pPr>
      <w:rPr>
        <w:rFonts w:hint="default"/>
        <w:lang w:val="fr-FR" w:eastAsia="en-US" w:bidi="ar-SA"/>
      </w:rPr>
    </w:lvl>
  </w:abstractNum>
  <w:num w:numId="1" w16cid:durableId="1203132029">
    <w:abstractNumId w:val="5"/>
  </w:num>
  <w:num w:numId="2" w16cid:durableId="917788610">
    <w:abstractNumId w:val="10"/>
  </w:num>
  <w:num w:numId="3" w16cid:durableId="613753619">
    <w:abstractNumId w:val="8"/>
  </w:num>
  <w:num w:numId="4" w16cid:durableId="83695650">
    <w:abstractNumId w:val="9"/>
  </w:num>
  <w:num w:numId="5" w16cid:durableId="182785693">
    <w:abstractNumId w:val="0"/>
  </w:num>
  <w:num w:numId="6" w16cid:durableId="580724192">
    <w:abstractNumId w:val="1"/>
  </w:num>
  <w:num w:numId="7" w16cid:durableId="2064479618">
    <w:abstractNumId w:val="11"/>
  </w:num>
  <w:num w:numId="8" w16cid:durableId="1243487213">
    <w:abstractNumId w:val="2"/>
  </w:num>
  <w:num w:numId="9" w16cid:durableId="368267100">
    <w:abstractNumId w:val="4"/>
  </w:num>
  <w:num w:numId="10" w16cid:durableId="1135872823">
    <w:abstractNumId w:val="3"/>
  </w:num>
  <w:num w:numId="11" w16cid:durableId="651369198">
    <w:abstractNumId w:val="6"/>
  </w:num>
  <w:num w:numId="12" w16cid:durableId="1229996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oNotTrackFormatting/>
  <w:defaultTabStop w:val="720"/>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9368D"/>
    <w:rsid w:val="00000858"/>
    <w:rsid w:val="000008EA"/>
    <w:rsid w:val="000069E7"/>
    <w:rsid w:val="00017607"/>
    <w:rsid w:val="00037DDC"/>
    <w:rsid w:val="000431A0"/>
    <w:rsid w:val="00044795"/>
    <w:rsid w:val="0004515F"/>
    <w:rsid w:val="0004637F"/>
    <w:rsid w:val="00051ADD"/>
    <w:rsid w:val="00056B72"/>
    <w:rsid w:val="00060847"/>
    <w:rsid w:val="00061126"/>
    <w:rsid w:val="000675BA"/>
    <w:rsid w:val="000713B0"/>
    <w:rsid w:val="0009089B"/>
    <w:rsid w:val="0009249F"/>
    <w:rsid w:val="00092A6B"/>
    <w:rsid w:val="00095E76"/>
    <w:rsid w:val="0009602D"/>
    <w:rsid w:val="000A2528"/>
    <w:rsid w:val="000A6197"/>
    <w:rsid w:val="000B54C7"/>
    <w:rsid w:val="000D4AD7"/>
    <w:rsid w:val="000D7B2E"/>
    <w:rsid w:val="000F13BF"/>
    <w:rsid w:val="000F3B18"/>
    <w:rsid w:val="000F7095"/>
    <w:rsid w:val="00100A4B"/>
    <w:rsid w:val="00106983"/>
    <w:rsid w:val="001125C5"/>
    <w:rsid w:val="00116558"/>
    <w:rsid w:val="00121EBD"/>
    <w:rsid w:val="00124EBC"/>
    <w:rsid w:val="00151434"/>
    <w:rsid w:val="001561AC"/>
    <w:rsid w:val="00156F0B"/>
    <w:rsid w:val="00171688"/>
    <w:rsid w:val="00177FC1"/>
    <w:rsid w:val="001849C8"/>
    <w:rsid w:val="001859C7"/>
    <w:rsid w:val="001874EF"/>
    <w:rsid w:val="00187F59"/>
    <w:rsid w:val="0019263C"/>
    <w:rsid w:val="001934D6"/>
    <w:rsid w:val="001964C0"/>
    <w:rsid w:val="001A4FF8"/>
    <w:rsid w:val="001B06CB"/>
    <w:rsid w:val="001C5D00"/>
    <w:rsid w:val="001D4553"/>
    <w:rsid w:val="001E5FD9"/>
    <w:rsid w:val="001E668E"/>
    <w:rsid w:val="00202EAB"/>
    <w:rsid w:val="002213FE"/>
    <w:rsid w:val="0022418C"/>
    <w:rsid w:val="00250B6A"/>
    <w:rsid w:val="00263DCB"/>
    <w:rsid w:val="00272196"/>
    <w:rsid w:val="0028306F"/>
    <w:rsid w:val="00297CBF"/>
    <w:rsid w:val="002A278A"/>
    <w:rsid w:val="002A2FA1"/>
    <w:rsid w:val="002A651F"/>
    <w:rsid w:val="002A67F5"/>
    <w:rsid w:val="002B57EE"/>
    <w:rsid w:val="002D48F6"/>
    <w:rsid w:val="002E39C6"/>
    <w:rsid w:val="002E73E0"/>
    <w:rsid w:val="003018DA"/>
    <w:rsid w:val="00304077"/>
    <w:rsid w:val="00304D21"/>
    <w:rsid w:val="00305186"/>
    <w:rsid w:val="00305B15"/>
    <w:rsid w:val="00307037"/>
    <w:rsid w:val="0031468B"/>
    <w:rsid w:val="0032176C"/>
    <w:rsid w:val="0032485B"/>
    <w:rsid w:val="0032627D"/>
    <w:rsid w:val="00327807"/>
    <w:rsid w:val="00335773"/>
    <w:rsid w:val="0035489E"/>
    <w:rsid w:val="00363193"/>
    <w:rsid w:val="00365F95"/>
    <w:rsid w:val="00396CB9"/>
    <w:rsid w:val="003A017D"/>
    <w:rsid w:val="003A214D"/>
    <w:rsid w:val="003B26F9"/>
    <w:rsid w:val="003B4623"/>
    <w:rsid w:val="003B4B56"/>
    <w:rsid w:val="003C572E"/>
    <w:rsid w:val="003C66FC"/>
    <w:rsid w:val="003D1BBA"/>
    <w:rsid w:val="003D3556"/>
    <w:rsid w:val="003D590F"/>
    <w:rsid w:val="003D7A78"/>
    <w:rsid w:val="003E34B5"/>
    <w:rsid w:val="003F1907"/>
    <w:rsid w:val="00402AAB"/>
    <w:rsid w:val="004041D0"/>
    <w:rsid w:val="00412DDB"/>
    <w:rsid w:val="00415623"/>
    <w:rsid w:val="004172D1"/>
    <w:rsid w:val="004272D3"/>
    <w:rsid w:val="004402FC"/>
    <w:rsid w:val="00440A2F"/>
    <w:rsid w:val="00445E86"/>
    <w:rsid w:val="004465AA"/>
    <w:rsid w:val="004538AA"/>
    <w:rsid w:val="00466604"/>
    <w:rsid w:val="00472E65"/>
    <w:rsid w:val="00473C25"/>
    <w:rsid w:val="004752CB"/>
    <w:rsid w:val="00475A3F"/>
    <w:rsid w:val="00476E5A"/>
    <w:rsid w:val="00481B91"/>
    <w:rsid w:val="00487DD4"/>
    <w:rsid w:val="0049368D"/>
    <w:rsid w:val="004955E6"/>
    <w:rsid w:val="00495C77"/>
    <w:rsid w:val="004A2A97"/>
    <w:rsid w:val="004A7F0B"/>
    <w:rsid w:val="004D3099"/>
    <w:rsid w:val="004D63E3"/>
    <w:rsid w:val="004E33DE"/>
    <w:rsid w:val="004E5DF9"/>
    <w:rsid w:val="004F026C"/>
    <w:rsid w:val="004F244F"/>
    <w:rsid w:val="004F4D69"/>
    <w:rsid w:val="00500A2F"/>
    <w:rsid w:val="00504608"/>
    <w:rsid w:val="0050507C"/>
    <w:rsid w:val="005077B9"/>
    <w:rsid w:val="00523115"/>
    <w:rsid w:val="00524A66"/>
    <w:rsid w:val="00536CF2"/>
    <w:rsid w:val="005549E3"/>
    <w:rsid w:val="00554DB3"/>
    <w:rsid w:val="0055556F"/>
    <w:rsid w:val="00565858"/>
    <w:rsid w:val="00570B46"/>
    <w:rsid w:val="005711B4"/>
    <w:rsid w:val="005769A6"/>
    <w:rsid w:val="00577825"/>
    <w:rsid w:val="00586DB3"/>
    <w:rsid w:val="00590855"/>
    <w:rsid w:val="00593FEA"/>
    <w:rsid w:val="00594618"/>
    <w:rsid w:val="00595FE8"/>
    <w:rsid w:val="005A0816"/>
    <w:rsid w:val="005B3D05"/>
    <w:rsid w:val="005B3FB1"/>
    <w:rsid w:val="005B765A"/>
    <w:rsid w:val="005C1C6D"/>
    <w:rsid w:val="005C7783"/>
    <w:rsid w:val="005D0EA8"/>
    <w:rsid w:val="005D60AB"/>
    <w:rsid w:val="005E100E"/>
    <w:rsid w:val="00604459"/>
    <w:rsid w:val="00604CCF"/>
    <w:rsid w:val="00622A62"/>
    <w:rsid w:val="00630BFB"/>
    <w:rsid w:val="006318B7"/>
    <w:rsid w:val="0063445D"/>
    <w:rsid w:val="00637D01"/>
    <w:rsid w:val="00650620"/>
    <w:rsid w:val="006507CF"/>
    <w:rsid w:val="006514D9"/>
    <w:rsid w:val="00655878"/>
    <w:rsid w:val="00657A88"/>
    <w:rsid w:val="00661D7E"/>
    <w:rsid w:val="00664F28"/>
    <w:rsid w:val="006709E2"/>
    <w:rsid w:val="00674048"/>
    <w:rsid w:val="00674564"/>
    <w:rsid w:val="006803BB"/>
    <w:rsid w:val="00680552"/>
    <w:rsid w:val="006805F1"/>
    <w:rsid w:val="00681C34"/>
    <w:rsid w:val="00691CA1"/>
    <w:rsid w:val="00691EF3"/>
    <w:rsid w:val="00694C4C"/>
    <w:rsid w:val="0069504A"/>
    <w:rsid w:val="006A2414"/>
    <w:rsid w:val="006D159C"/>
    <w:rsid w:val="006D515A"/>
    <w:rsid w:val="006D58B9"/>
    <w:rsid w:val="006E3409"/>
    <w:rsid w:val="006F0E62"/>
    <w:rsid w:val="006F682A"/>
    <w:rsid w:val="00710C80"/>
    <w:rsid w:val="00726DBB"/>
    <w:rsid w:val="0073197C"/>
    <w:rsid w:val="00733BD0"/>
    <w:rsid w:val="007344AA"/>
    <w:rsid w:val="00741272"/>
    <w:rsid w:val="00752042"/>
    <w:rsid w:val="00752251"/>
    <w:rsid w:val="00753724"/>
    <w:rsid w:val="00754C8B"/>
    <w:rsid w:val="007551DF"/>
    <w:rsid w:val="0076491B"/>
    <w:rsid w:val="00767B02"/>
    <w:rsid w:val="00773906"/>
    <w:rsid w:val="00776AD4"/>
    <w:rsid w:val="00780AD1"/>
    <w:rsid w:val="00782060"/>
    <w:rsid w:val="00784438"/>
    <w:rsid w:val="007957A8"/>
    <w:rsid w:val="00795A3F"/>
    <w:rsid w:val="00797009"/>
    <w:rsid w:val="007A5631"/>
    <w:rsid w:val="007B179E"/>
    <w:rsid w:val="007B67A9"/>
    <w:rsid w:val="007C4469"/>
    <w:rsid w:val="007C5FFD"/>
    <w:rsid w:val="007C68F8"/>
    <w:rsid w:val="007D4215"/>
    <w:rsid w:val="007E07CC"/>
    <w:rsid w:val="007E627F"/>
    <w:rsid w:val="007F3709"/>
    <w:rsid w:val="007F3B6B"/>
    <w:rsid w:val="007F7416"/>
    <w:rsid w:val="00801972"/>
    <w:rsid w:val="00803F08"/>
    <w:rsid w:val="00813E61"/>
    <w:rsid w:val="008146C9"/>
    <w:rsid w:val="008338DF"/>
    <w:rsid w:val="00833E7D"/>
    <w:rsid w:val="00846755"/>
    <w:rsid w:val="00850EFD"/>
    <w:rsid w:val="008604B0"/>
    <w:rsid w:val="008606D7"/>
    <w:rsid w:val="0086346A"/>
    <w:rsid w:val="00876807"/>
    <w:rsid w:val="008957F9"/>
    <w:rsid w:val="008B194F"/>
    <w:rsid w:val="008B4EE5"/>
    <w:rsid w:val="008C7D08"/>
    <w:rsid w:val="008D6851"/>
    <w:rsid w:val="008E5B52"/>
    <w:rsid w:val="008F120F"/>
    <w:rsid w:val="008F1740"/>
    <w:rsid w:val="008F3D80"/>
    <w:rsid w:val="008F4F33"/>
    <w:rsid w:val="008F60CD"/>
    <w:rsid w:val="00905367"/>
    <w:rsid w:val="0091632E"/>
    <w:rsid w:val="0091662B"/>
    <w:rsid w:val="009323E6"/>
    <w:rsid w:val="00936BE5"/>
    <w:rsid w:val="0095405E"/>
    <w:rsid w:val="00955371"/>
    <w:rsid w:val="00956ABD"/>
    <w:rsid w:val="00962E8A"/>
    <w:rsid w:val="00962E9C"/>
    <w:rsid w:val="00963427"/>
    <w:rsid w:val="00970D34"/>
    <w:rsid w:val="0097238D"/>
    <w:rsid w:val="009748DC"/>
    <w:rsid w:val="009762DC"/>
    <w:rsid w:val="00980082"/>
    <w:rsid w:val="009908F4"/>
    <w:rsid w:val="009951B5"/>
    <w:rsid w:val="009970D2"/>
    <w:rsid w:val="00997E97"/>
    <w:rsid w:val="009A0EEA"/>
    <w:rsid w:val="009A5F46"/>
    <w:rsid w:val="009B410F"/>
    <w:rsid w:val="009B550D"/>
    <w:rsid w:val="009C1326"/>
    <w:rsid w:val="009D5DC3"/>
    <w:rsid w:val="009D6CBC"/>
    <w:rsid w:val="009E3AD9"/>
    <w:rsid w:val="009F1DB6"/>
    <w:rsid w:val="009F41D4"/>
    <w:rsid w:val="00A13031"/>
    <w:rsid w:val="00A1311D"/>
    <w:rsid w:val="00A26357"/>
    <w:rsid w:val="00A30E18"/>
    <w:rsid w:val="00A31FB6"/>
    <w:rsid w:val="00A416A7"/>
    <w:rsid w:val="00A41D0A"/>
    <w:rsid w:val="00A43AAB"/>
    <w:rsid w:val="00A46BB5"/>
    <w:rsid w:val="00A514C1"/>
    <w:rsid w:val="00A521AE"/>
    <w:rsid w:val="00A55B2E"/>
    <w:rsid w:val="00A6119F"/>
    <w:rsid w:val="00A71DAE"/>
    <w:rsid w:val="00A729DC"/>
    <w:rsid w:val="00A82034"/>
    <w:rsid w:val="00A836E9"/>
    <w:rsid w:val="00A94E46"/>
    <w:rsid w:val="00A94EC2"/>
    <w:rsid w:val="00AA68B4"/>
    <w:rsid w:val="00AB2CD1"/>
    <w:rsid w:val="00AD09A1"/>
    <w:rsid w:val="00AE0E1D"/>
    <w:rsid w:val="00AE0E53"/>
    <w:rsid w:val="00AE2ED2"/>
    <w:rsid w:val="00AE795A"/>
    <w:rsid w:val="00AE7FE4"/>
    <w:rsid w:val="00AF1DFE"/>
    <w:rsid w:val="00AF5D35"/>
    <w:rsid w:val="00AF7CAC"/>
    <w:rsid w:val="00B0106B"/>
    <w:rsid w:val="00B070A4"/>
    <w:rsid w:val="00B1785F"/>
    <w:rsid w:val="00B2469F"/>
    <w:rsid w:val="00B3120F"/>
    <w:rsid w:val="00B35394"/>
    <w:rsid w:val="00B446D2"/>
    <w:rsid w:val="00B450AD"/>
    <w:rsid w:val="00B45DC3"/>
    <w:rsid w:val="00B4745B"/>
    <w:rsid w:val="00B50577"/>
    <w:rsid w:val="00B51A88"/>
    <w:rsid w:val="00B53E67"/>
    <w:rsid w:val="00B7062F"/>
    <w:rsid w:val="00B71549"/>
    <w:rsid w:val="00B720B1"/>
    <w:rsid w:val="00B7503D"/>
    <w:rsid w:val="00B83683"/>
    <w:rsid w:val="00B957AA"/>
    <w:rsid w:val="00B965DD"/>
    <w:rsid w:val="00BA4A0B"/>
    <w:rsid w:val="00BA5489"/>
    <w:rsid w:val="00BA6980"/>
    <w:rsid w:val="00BB3B68"/>
    <w:rsid w:val="00BB669A"/>
    <w:rsid w:val="00BC13B5"/>
    <w:rsid w:val="00BC7867"/>
    <w:rsid w:val="00BD00B1"/>
    <w:rsid w:val="00BD12D9"/>
    <w:rsid w:val="00BD13F0"/>
    <w:rsid w:val="00BD59E9"/>
    <w:rsid w:val="00BD5D08"/>
    <w:rsid w:val="00C0530B"/>
    <w:rsid w:val="00C07127"/>
    <w:rsid w:val="00C25375"/>
    <w:rsid w:val="00C44D17"/>
    <w:rsid w:val="00C50644"/>
    <w:rsid w:val="00C56638"/>
    <w:rsid w:val="00C6404A"/>
    <w:rsid w:val="00C662BD"/>
    <w:rsid w:val="00C67BD9"/>
    <w:rsid w:val="00C711C4"/>
    <w:rsid w:val="00C71F56"/>
    <w:rsid w:val="00C86356"/>
    <w:rsid w:val="00C90BF6"/>
    <w:rsid w:val="00CA16B1"/>
    <w:rsid w:val="00CC177A"/>
    <w:rsid w:val="00CC6C77"/>
    <w:rsid w:val="00CD47E0"/>
    <w:rsid w:val="00CD688E"/>
    <w:rsid w:val="00CE2577"/>
    <w:rsid w:val="00CE7A65"/>
    <w:rsid w:val="00CF1281"/>
    <w:rsid w:val="00CF4D0F"/>
    <w:rsid w:val="00CF66C4"/>
    <w:rsid w:val="00CF7952"/>
    <w:rsid w:val="00D02D7C"/>
    <w:rsid w:val="00D07BB3"/>
    <w:rsid w:val="00D11B91"/>
    <w:rsid w:val="00D140CB"/>
    <w:rsid w:val="00D21DE4"/>
    <w:rsid w:val="00D27CDD"/>
    <w:rsid w:val="00D355FD"/>
    <w:rsid w:val="00D55389"/>
    <w:rsid w:val="00D56E74"/>
    <w:rsid w:val="00D62BEA"/>
    <w:rsid w:val="00D671A7"/>
    <w:rsid w:val="00D8048C"/>
    <w:rsid w:val="00D83751"/>
    <w:rsid w:val="00D92F99"/>
    <w:rsid w:val="00D9308C"/>
    <w:rsid w:val="00D94019"/>
    <w:rsid w:val="00DC20FD"/>
    <w:rsid w:val="00DC4F7E"/>
    <w:rsid w:val="00DD0AAD"/>
    <w:rsid w:val="00DD6AB2"/>
    <w:rsid w:val="00DE4BA3"/>
    <w:rsid w:val="00DF4890"/>
    <w:rsid w:val="00E012DA"/>
    <w:rsid w:val="00E03E96"/>
    <w:rsid w:val="00E04C8F"/>
    <w:rsid w:val="00E05188"/>
    <w:rsid w:val="00E30078"/>
    <w:rsid w:val="00E30699"/>
    <w:rsid w:val="00E45358"/>
    <w:rsid w:val="00E52126"/>
    <w:rsid w:val="00E5448A"/>
    <w:rsid w:val="00E54A11"/>
    <w:rsid w:val="00E7184D"/>
    <w:rsid w:val="00E74974"/>
    <w:rsid w:val="00E75A7B"/>
    <w:rsid w:val="00E81FFF"/>
    <w:rsid w:val="00E842BA"/>
    <w:rsid w:val="00E91470"/>
    <w:rsid w:val="00EB6011"/>
    <w:rsid w:val="00EB7925"/>
    <w:rsid w:val="00ED42FB"/>
    <w:rsid w:val="00EE4DE6"/>
    <w:rsid w:val="00EE6F1F"/>
    <w:rsid w:val="00EF5685"/>
    <w:rsid w:val="00EF580F"/>
    <w:rsid w:val="00EF72A9"/>
    <w:rsid w:val="00F071AC"/>
    <w:rsid w:val="00F116DA"/>
    <w:rsid w:val="00F123E8"/>
    <w:rsid w:val="00F1357B"/>
    <w:rsid w:val="00F1396F"/>
    <w:rsid w:val="00F13DB0"/>
    <w:rsid w:val="00F15E74"/>
    <w:rsid w:val="00F20E9D"/>
    <w:rsid w:val="00F23152"/>
    <w:rsid w:val="00F2445E"/>
    <w:rsid w:val="00F3514D"/>
    <w:rsid w:val="00F3638C"/>
    <w:rsid w:val="00F3717F"/>
    <w:rsid w:val="00F37299"/>
    <w:rsid w:val="00F42F94"/>
    <w:rsid w:val="00F4773E"/>
    <w:rsid w:val="00F56639"/>
    <w:rsid w:val="00F5723C"/>
    <w:rsid w:val="00F7295B"/>
    <w:rsid w:val="00F80BEF"/>
    <w:rsid w:val="00F81317"/>
    <w:rsid w:val="00F82DA6"/>
    <w:rsid w:val="00F83886"/>
    <w:rsid w:val="00FA2D28"/>
    <w:rsid w:val="00FB670F"/>
    <w:rsid w:val="00FB7519"/>
    <w:rsid w:val="00FB7EA8"/>
    <w:rsid w:val="00FC0D87"/>
    <w:rsid w:val="00FC2F37"/>
    <w:rsid w:val="00FC42E8"/>
    <w:rsid w:val="00FD0614"/>
    <w:rsid w:val="00FD5FE1"/>
    <w:rsid w:val="00FD7102"/>
    <w:rsid w:val="00FF2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586B01"/>
  <w15:docId w15:val="{EEE08356-B561-4F65-ADF6-55AEC13D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556"/>
    <w:rPr>
      <w:rFonts w:ascii="Tahoma" w:hAnsi="Tahoma" w:cs="Tahoma"/>
      <w:sz w:val="16"/>
      <w:szCs w:val="16"/>
    </w:rPr>
  </w:style>
  <w:style w:type="character" w:styleId="CommentReference">
    <w:name w:val="annotation reference"/>
    <w:basedOn w:val="DefaultParagraphFont"/>
    <w:uiPriority w:val="99"/>
    <w:semiHidden/>
    <w:unhideWhenUsed/>
    <w:rsid w:val="003D3556"/>
    <w:rPr>
      <w:rFonts w:cs="Times New Roman"/>
      <w:sz w:val="16"/>
      <w:szCs w:val="16"/>
    </w:rPr>
  </w:style>
  <w:style w:type="paragraph" w:styleId="CommentText">
    <w:name w:val="annotation text"/>
    <w:basedOn w:val="Normal"/>
    <w:link w:val="CommentTextChar"/>
    <w:uiPriority w:val="99"/>
    <w:semiHidden/>
    <w:unhideWhenUsed/>
    <w:rsid w:val="003D3556"/>
    <w:rPr>
      <w:sz w:val="20"/>
      <w:szCs w:val="20"/>
    </w:rPr>
  </w:style>
  <w:style w:type="character" w:customStyle="1" w:styleId="CommentTextChar">
    <w:name w:val="Comment Text Char"/>
    <w:basedOn w:val="DefaultParagraphFont"/>
    <w:link w:val="CommentText"/>
    <w:uiPriority w:val="99"/>
    <w:semiHidden/>
    <w:locked/>
    <w:rsid w:val="003D3556"/>
    <w:rPr>
      <w:rFonts w:cs="Times New Roman"/>
      <w:sz w:val="20"/>
      <w:szCs w:val="20"/>
    </w:rPr>
  </w:style>
  <w:style w:type="paragraph" w:styleId="CommentSubject">
    <w:name w:val="annotation subject"/>
    <w:basedOn w:val="CommentText"/>
    <w:next w:val="CommentText"/>
    <w:link w:val="CommentSubjectChar"/>
    <w:uiPriority w:val="99"/>
    <w:semiHidden/>
    <w:unhideWhenUsed/>
    <w:rsid w:val="003D3556"/>
    <w:rPr>
      <w:b/>
      <w:bCs/>
    </w:rPr>
  </w:style>
  <w:style w:type="character" w:customStyle="1" w:styleId="CommentSubjectChar">
    <w:name w:val="Comment Subject Char"/>
    <w:basedOn w:val="CommentTextChar"/>
    <w:link w:val="CommentSubject"/>
    <w:uiPriority w:val="99"/>
    <w:semiHidden/>
    <w:locked/>
    <w:rsid w:val="003D3556"/>
    <w:rPr>
      <w:rFonts w:cs="Times New Roman"/>
      <w:b/>
      <w:bCs/>
      <w:sz w:val="20"/>
      <w:szCs w:val="20"/>
    </w:rPr>
  </w:style>
  <w:style w:type="paragraph" w:styleId="Revision">
    <w:name w:val="Revision"/>
    <w:hidden/>
    <w:uiPriority w:val="99"/>
    <w:semiHidden/>
    <w:rsid w:val="003D590F"/>
    <w:pPr>
      <w:spacing w:after="0" w:line="240" w:lineRule="auto"/>
    </w:pPr>
  </w:style>
  <w:style w:type="paragraph" w:styleId="Header">
    <w:name w:val="header"/>
    <w:basedOn w:val="Normal"/>
    <w:link w:val="HeaderChar"/>
    <w:uiPriority w:val="99"/>
    <w:unhideWhenUsed/>
    <w:rsid w:val="009970D2"/>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9970D2"/>
    <w:rPr>
      <w:lang w:eastAsia="en-US"/>
    </w:rPr>
  </w:style>
  <w:style w:type="table" w:styleId="TableGrid">
    <w:name w:val="Table Grid"/>
    <w:basedOn w:val="TableNormal"/>
    <w:uiPriority w:val="59"/>
    <w:rsid w:val="0099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ListParagraphChar"/>
    <w:uiPriority w:val="1"/>
    <w:qFormat/>
    <w:rsid w:val="00B2469F"/>
    <w:pPr>
      <w:ind w:left="720"/>
      <w:contextualSpacing/>
    </w:pPr>
  </w:style>
  <w:style w:type="paragraph" w:styleId="Footer">
    <w:name w:val="footer"/>
    <w:basedOn w:val="Normal"/>
    <w:link w:val="FooterChar"/>
    <w:uiPriority w:val="99"/>
    <w:unhideWhenUsed/>
    <w:rsid w:val="003A21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14D"/>
  </w:style>
  <w:style w:type="character" w:styleId="Hyperlink">
    <w:name w:val="Hyperlink"/>
    <w:basedOn w:val="DefaultParagraphFont"/>
    <w:uiPriority w:val="99"/>
    <w:unhideWhenUsed/>
    <w:rsid w:val="00121EBD"/>
    <w:rPr>
      <w:color w:val="0000FF"/>
      <w:u w:val="single"/>
    </w:rPr>
  </w:style>
  <w:style w:type="character" w:customStyle="1" w:styleId="ListParagraphChar">
    <w:name w:val="List Paragraph Char"/>
    <w:aliases w:val="Paragraphe EI Char,Paragraphe de liste1 Char,Dot pt Char,Colorful List - Accent 11 Char,No Spacing1 Char,List Paragraph Char Char Char Char,Indicator Text Char,Numbered Para 1 Char,Bullet 1 Char,F5 List Paragraph Char,3 Char"/>
    <w:link w:val="ListParagraph"/>
    <w:uiPriority w:val="34"/>
    <w:qFormat/>
    <w:rsid w:val="00DC4F7E"/>
  </w:style>
  <w:style w:type="paragraph" w:styleId="BodyText">
    <w:name w:val="Body Text"/>
    <w:basedOn w:val="Normal"/>
    <w:link w:val="BodyTextChar"/>
    <w:uiPriority w:val="1"/>
    <w:qFormat/>
    <w:rsid w:val="00905367"/>
    <w:pPr>
      <w:widowControl w:val="0"/>
      <w:autoSpaceDE w:val="0"/>
      <w:autoSpaceDN w:val="0"/>
      <w:spacing w:before="62" w:after="0" w:line="240" w:lineRule="auto"/>
      <w:ind w:left="118"/>
    </w:pPr>
    <w:rPr>
      <w:rFonts w:ascii="Arial Narrow" w:eastAsia="Arial Narrow" w:hAnsi="Arial Narrow" w:cs="Arial Narrow"/>
      <w:sz w:val="16"/>
      <w:szCs w:val="16"/>
      <w:lang w:eastAsia="en-US"/>
    </w:rPr>
  </w:style>
  <w:style w:type="character" w:customStyle="1" w:styleId="BodyTextChar">
    <w:name w:val="Body Text Char"/>
    <w:basedOn w:val="DefaultParagraphFont"/>
    <w:link w:val="BodyText"/>
    <w:uiPriority w:val="1"/>
    <w:rsid w:val="00905367"/>
    <w:rPr>
      <w:rFonts w:ascii="Arial Narrow" w:eastAsia="Arial Narrow" w:hAnsi="Arial Narrow" w:cs="Arial Narrow"/>
      <w:sz w:val="16"/>
      <w:szCs w:val="16"/>
      <w:lang w:eastAsia="en-US"/>
    </w:rPr>
  </w:style>
  <w:style w:type="paragraph" w:customStyle="1" w:styleId="TableParagraph">
    <w:name w:val="Table Paragraph"/>
    <w:basedOn w:val="Normal"/>
    <w:uiPriority w:val="1"/>
    <w:qFormat/>
    <w:rsid w:val="00905367"/>
    <w:pPr>
      <w:widowControl w:val="0"/>
      <w:autoSpaceDE w:val="0"/>
      <w:autoSpaceDN w:val="0"/>
      <w:spacing w:before="49" w:after="0" w:line="240" w:lineRule="auto"/>
      <w:ind w:left="658"/>
    </w:pPr>
    <w:rPr>
      <w:rFonts w:ascii="Arial Black" w:eastAsia="Arial Black" w:hAnsi="Arial Black" w:cs="Arial Black"/>
      <w:lang w:eastAsia="en-US"/>
    </w:rPr>
  </w:style>
  <w:style w:type="character" w:styleId="UnresolvedMention">
    <w:name w:val="Unresolved Mention"/>
    <w:basedOn w:val="DefaultParagraphFont"/>
    <w:uiPriority w:val="99"/>
    <w:semiHidden/>
    <w:unhideWhenUsed/>
    <w:rsid w:val="001E668E"/>
    <w:rPr>
      <w:color w:val="605E5C"/>
      <w:shd w:val="clear" w:color="auto" w:fill="E1DFDD"/>
    </w:rPr>
  </w:style>
  <w:style w:type="paragraph" w:customStyle="1" w:styleId="Default">
    <w:name w:val="Default"/>
    <w:rsid w:val="00AE2ED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9721">
      <w:bodyDiv w:val="1"/>
      <w:marLeft w:val="0"/>
      <w:marRight w:val="0"/>
      <w:marTop w:val="0"/>
      <w:marBottom w:val="0"/>
      <w:divBdr>
        <w:top w:val="none" w:sz="0" w:space="0" w:color="auto"/>
        <w:left w:val="none" w:sz="0" w:space="0" w:color="auto"/>
        <w:bottom w:val="none" w:sz="0" w:space="0" w:color="auto"/>
        <w:right w:val="none" w:sz="0" w:space="0" w:color="auto"/>
      </w:divBdr>
    </w:div>
    <w:div w:id="17603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drillecapita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30F00-CB0C-4F6A-8E63-D9E21E63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3130</Words>
  <Characters>17004</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AGAMA CONSEIL</dc:creator>
  <cp:lastModifiedBy>David SHU</cp:lastModifiedBy>
  <cp:revision>17</cp:revision>
  <cp:lastPrinted>2023-02-14T15:33:00Z</cp:lastPrinted>
  <dcterms:created xsi:type="dcterms:W3CDTF">2023-03-09T19:51:00Z</dcterms:created>
  <dcterms:modified xsi:type="dcterms:W3CDTF">2024-03-15T18:21:00Z</dcterms:modified>
</cp:coreProperties>
</file>